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C7943" w14:textId="59DC8558" w:rsidR="00F25532" w:rsidRDefault="004E50F8" w:rsidP="002245FC">
      <w:pPr>
        <w:spacing w:after="0"/>
        <w:jc w:val="center"/>
        <w:rPr>
          <w:rFonts w:ascii="Cambria" w:hAnsi="Cambria" w:cs="Arial"/>
          <w:b/>
          <w:color w:val="000000"/>
          <w:sz w:val="28"/>
          <w:szCs w:val="28"/>
        </w:rPr>
      </w:pPr>
      <w:r w:rsidRPr="004E50F8">
        <w:rPr>
          <w:rFonts w:ascii="Cambria" w:hAnsi="Cambria" w:cs="Arial"/>
          <w:b/>
          <w:color w:val="000000"/>
          <w:sz w:val="28"/>
          <w:szCs w:val="28"/>
        </w:rPr>
        <w:t xml:space="preserve">Analisis </w:t>
      </w:r>
      <w:r w:rsidR="003A1FB2" w:rsidRPr="003A1FB2">
        <w:rPr>
          <w:rFonts w:ascii="Cambria" w:hAnsi="Cambria" w:cs="Arial"/>
          <w:b/>
          <w:i/>
          <w:iCs/>
          <w:color w:val="000000"/>
          <w:sz w:val="28"/>
          <w:szCs w:val="28"/>
        </w:rPr>
        <w:t>Triple Bottom Line</w:t>
      </w:r>
      <w:r w:rsidRPr="004E50F8">
        <w:rPr>
          <w:rFonts w:ascii="Cambria" w:hAnsi="Cambria" w:cs="Arial"/>
          <w:b/>
          <w:color w:val="000000"/>
          <w:sz w:val="28"/>
          <w:szCs w:val="28"/>
        </w:rPr>
        <w:t xml:space="preserve"> Dalam </w:t>
      </w:r>
      <w:r w:rsidR="003A1FB2" w:rsidRPr="003A1FB2">
        <w:rPr>
          <w:rFonts w:ascii="Cambria" w:hAnsi="Cambria" w:cs="Arial"/>
          <w:b/>
          <w:i/>
          <w:iCs/>
          <w:color w:val="000000"/>
          <w:sz w:val="28"/>
          <w:szCs w:val="28"/>
        </w:rPr>
        <w:t>Corporate Social Responsibility</w:t>
      </w:r>
      <w:r w:rsidRPr="004E50F8">
        <w:rPr>
          <w:rFonts w:ascii="Cambria" w:hAnsi="Cambria" w:cs="Arial"/>
          <w:b/>
          <w:color w:val="000000"/>
          <w:sz w:val="28"/>
          <w:szCs w:val="28"/>
        </w:rPr>
        <w:t xml:space="preserve"> PT Pertamina Patra Niaga Depot Pengisian Pesawat Udara Supadio Kabupaten Kubu Raya</w:t>
      </w:r>
    </w:p>
    <w:p w14:paraId="5FA2B14F" w14:textId="77777777" w:rsidR="00091C55" w:rsidRPr="00091C55" w:rsidRDefault="00091C55" w:rsidP="00525CDD">
      <w:pPr>
        <w:spacing w:after="0" w:line="360" w:lineRule="auto"/>
        <w:jc w:val="center"/>
        <w:rPr>
          <w:rFonts w:ascii="Cambria" w:hAnsi="Cambria"/>
          <w:b/>
          <w:color w:val="000000"/>
          <w:sz w:val="24"/>
          <w:szCs w:val="24"/>
        </w:rPr>
      </w:pPr>
    </w:p>
    <w:p w14:paraId="37A28ECF" w14:textId="7B1CA49D" w:rsidR="00091C55" w:rsidRPr="007C3554" w:rsidRDefault="004E50F8" w:rsidP="00A7189A">
      <w:pPr>
        <w:spacing w:after="0"/>
        <w:jc w:val="center"/>
        <w:rPr>
          <w:rFonts w:ascii="Cambria" w:hAnsi="Cambria"/>
          <w:b/>
          <w:vertAlign w:val="superscript"/>
        </w:rPr>
      </w:pPr>
      <w:r w:rsidRPr="004E50F8">
        <w:rPr>
          <w:rFonts w:ascii="Cambria" w:hAnsi="Cambria"/>
          <w:b/>
        </w:rPr>
        <w:t>Agus Nurdiansah</w:t>
      </w:r>
      <w:r w:rsidRPr="004E50F8">
        <w:rPr>
          <w:rFonts w:ascii="Cambria" w:hAnsi="Cambria"/>
          <w:b/>
          <w:vertAlign w:val="superscript"/>
        </w:rPr>
        <w:t>1</w:t>
      </w:r>
      <w:r w:rsidR="00A7189A" w:rsidRPr="00A7189A">
        <w:rPr>
          <w:rFonts w:ascii="Cambria" w:hAnsi="Cambria"/>
          <w:b/>
        </w:rPr>
        <w:t>*</w:t>
      </w:r>
      <w:r w:rsidRPr="004E50F8">
        <w:rPr>
          <w:rFonts w:ascii="Cambria" w:hAnsi="Cambria"/>
          <w:b/>
        </w:rPr>
        <w:t>, Wawan Heryana</w:t>
      </w:r>
      <w:r w:rsidRPr="004E50F8">
        <w:rPr>
          <w:rFonts w:ascii="Cambria" w:hAnsi="Cambria"/>
          <w:b/>
          <w:vertAlign w:val="superscript"/>
        </w:rPr>
        <w:t>2</w:t>
      </w:r>
      <w:r w:rsidRPr="004E50F8">
        <w:rPr>
          <w:rFonts w:ascii="Cambria" w:hAnsi="Cambria"/>
          <w:b/>
        </w:rPr>
        <w:t>, Nurrohmi</w:t>
      </w:r>
      <w:r w:rsidRPr="004E50F8">
        <w:rPr>
          <w:rFonts w:ascii="Cambria" w:hAnsi="Cambria"/>
          <w:b/>
          <w:vertAlign w:val="superscript"/>
        </w:rPr>
        <w:t>3</w:t>
      </w:r>
    </w:p>
    <w:p w14:paraId="6D565E33" w14:textId="5C0A36B7" w:rsidR="007E1918" w:rsidRDefault="006D3C26" w:rsidP="00A7189A">
      <w:pPr>
        <w:spacing w:after="0"/>
        <w:jc w:val="center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color w:val="000000"/>
          <w:sz w:val="20"/>
          <w:szCs w:val="20"/>
          <w:vertAlign w:val="superscript"/>
        </w:rPr>
        <w:t>1</w:t>
      </w:r>
      <w:r w:rsidR="004E50F8">
        <w:rPr>
          <w:rFonts w:ascii="Cambria" w:hAnsi="Cambria" w:cs="Arial"/>
          <w:color w:val="000000"/>
          <w:sz w:val="20"/>
          <w:szCs w:val="20"/>
          <w:vertAlign w:val="superscript"/>
        </w:rPr>
        <w:t>, 2, 3</w:t>
      </w:r>
      <w:r w:rsidR="007429F3">
        <w:rPr>
          <w:rFonts w:ascii="Cambria" w:hAnsi="Cambria" w:cs="Arial"/>
          <w:color w:val="000000"/>
          <w:sz w:val="20"/>
          <w:szCs w:val="20"/>
          <w:vertAlign w:val="superscript"/>
        </w:rPr>
        <w:t xml:space="preserve"> </w:t>
      </w:r>
      <w:r w:rsidR="004E50F8" w:rsidRPr="004E50F8">
        <w:rPr>
          <w:rFonts w:ascii="Cambria" w:hAnsi="Cambria" w:cs="Arial"/>
          <w:sz w:val="20"/>
          <w:szCs w:val="20"/>
        </w:rPr>
        <w:t>Program Studi Pekerjaan Sosial Program Sarjana Terapan, Politeknik Kesejahteraan Sosial</w:t>
      </w:r>
    </w:p>
    <w:p w14:paraId="7254D891" w14:textId="3A714C55" w:rsidR="00525CDD" w:rsidRDefault="00525CDD" w:rsidP="00A7189A">
      <w:pPr>
        <w:spacing w:after="0"/>
        <w:jc w:val="center"/>
        <w:rPr>
          <w:rFonts w:ascii="Cambria" w:hAnsi="Cambria" w:cs="Arial"/>
          <w:color w:val="000000"/>
          <w:sz w:val="20"/>
          <w:szCs w:val="20"/>
        </w:rPr>
      </w:pPr>
      <w:r>
        <w:rPr>
          <w:rFonts w:ascii="Cambria" w:hAnsi="Cambria" w:cs="Arial"/>
          <w:color w:val="000000"/>
          <w:sz w:val="20"/>
          <w:szCs w:val="20"/>
        </w:rPr>
        <w:t xml:space="preserve">E-mail </w:t>
      </w:r>
      <w:r w:rsidR="00C95FEE">
        <w:rPr>
          <w:rFonts w:ascii="Cambria" w:hAnsi="Cambria" w:cs="Arial"/>
          <w:color w:val="000000"/>
          <w:sz w:val="20"/>
          <w:szCs w:val="20"/>
        </w:rPr>
        <w:t>C</w:t>
      </w:r>
      <w:r w:rsidR="00C95FEE" w:rsidRPr="00C95FEE">
        <w:rPr>
          <w:rFonts w:ascii="Cambria" w:hAnsi="Cambria" w:cs="Arial"/>
          <w:color w:val="000000"/>
          <w:sz w:val="20"/>
          <w:szCs w:val="20"/>
        </w:rPr>
        <w:t>orrespondence</w:t>
      </w:r>
      <w:r>
        <w:rPr>
          <w:rFonts w:ascii="Cambria" w:hAnsi="Cambria" w:cs="Arial"/>
          <w:color w:val="000000"/>
          <w:sz w:val="20"/>
          <w:szCs w:val="20"/>
        </w:rPr>
        <w:t>:</w:t>
      </w:r>
      <w:r w:rsidR="00C373B5">
        <w:t xml:space="preserve"> </w:t>
      </w:r>
      <w:hyperlink r:id="rId9" w:history="1">
        <w:r w:rsidR="004E50F8" w:rsidRPr="004E50F8">
          <w:rPr>
            <w:rStyle w:val="Hyperlink"/>
            <w:rFonts w:ascii="Cambria" w:hAnsi="Cambria"/>
            <w:sz w:val="20"/>
            <w:szCs w:val="20"/>
          </w:rPr>
          <w:t>agusnnurdiansah@gmail.com</w:t>
        </w:r>
      </w:hyperlink>
      <w:r w:rsidR="004E50F8" w:rsidRPr="004E50F8">
        <w:rPr>
          <w:rFonts w:ascii="Cambria" w:hAnsi="Cambria"/>
          <w:sz w:val="20"/>
          <w:szCs w:val="20"/>
        </w:rPr>
        <w:t xml:space="preserve"> </w:t>
      </w:r>
      <w:r w:rsidR="007429F3" w:rsidRPr="004E50F8">
        <w:rPr>
          <w:rFonts w:ascii="Cambria" w:hAnsi="Cambria"/>
          <w:sz w:val="18"/>
          <w:szCs w:val="18"/>
        </w:rPr>
        <w:t xml:space="preserve"> </w:t>
      </w:r>
    </w:p>
    <w:p w14:paraId="2C082FBC" w14:textId="77777777" w:rsidR="00525CDD" w:rsidRDefault="00525CDD" w:rsidP="00525CDD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</w:p>
    <w:p w14:paraId="511C067A" w14:textId="77777777" w:rsidR="00525CDD" w:rsidRDefault="00525CDD" w:rsidP="00525CDD">
      <w:pPr>
        <w:spacing w:after="0"/>
        <w:ind w:left="562" w:right="562"/>
        <w:jc w:val="center"/>
        <w:rPr>
          <w:rFonts w:ascii="Cambria" w:hAnsi="Cambria"/>
          <w:i/>
          <w:color w:val="000000"/>
        </w:rPr>
      </w:pPr>
      <w:r>
        <w:rPr>
          <w:rFonts w:ascii="Cambria" w:hAnsi="Cambria"/>
          <w:b/>
          <w:i/>
          <w:color w:val="000000"/>
        </w:rPr>
        <w:t>Abstract</w:t>
      </w:r>
    </w:p>
    <w:p w14:paraId="3B316597" w14:textId="50BD3182" w:rsidR="005C40A4" w:rsidRDefault="002E3DC6" w:rsidP="002E3DC6">
      <w:pPr>
        <w:spacing w:after="0"/>
        <w:ind w:left="540" w:right="585"/>
        <w:jc w:val="both"/>
        <w:rPr>
          <w:rFonts w:ascii="Cambria" w:hAnsi="Cambria" w:cs="Arial"/>
          <w:i/>
          <w:iCs/>
          <w:color w:val="000000"/>
          <w:lang w:val="id-ID"/>
        </w:rPr>
      </w:pPr>
      <w:r w:rsidRPr="002E3DC6">
        <w:rPr>
          <w:rFonts w:ascii="Cambria" w:eastAsia="Times New Roman" w:hAnsi="Cambria"/>
          <w:i/>
          <w:lang w:eastAsia="en-ID"/>
        </w:rPr>
        <w:t xml:space="preserve">The application of the </w:t>
      </w:r>
      <w:r w:rsidR="003A1FB2" w:rsidRPr="003A1FB2">
        <w:rPr>
          <w:rFonts w:ascii="Cambria" w:eastAsia="Times New Roman" w:hAnsi="Cambria"/>
          <w:i/>
          <w:iCs/>
          <w:lang w:eastAsia="en-ID"/>
        </w:rPr>
        <w:t>Triple Bottom Line</w:t>
      </w:r>
      <w:r w:rsidRPr="002E3DC6">
        <w:rPr>
          <w:rFonts w:ascii="Cambria" w:eastAsia="Times New Roman" w:hAnsi="Cambria"/>
          <w:i/>
          <w:lang w:eastAsia="en-ID"/>
        </w:rPr>
        <w:t xml:space="preserve"> (TBL) principle in </w:t>
      </w:r>
      <w:r w:rsidR="003A1FB2" w:rsidRPr="003A1FB2">
        <w:rPr>
          <w:rFonts w:ascii="Cambria" w:eastAsia="Times New Roman" w:hAnsi="Cambria"/>
          <w:i/>
          <w:iCs/>
          <w:lang w:eastAsia="en-ID"/>
        </w:rPr>
        <w:t>Corporate Social Responsibility</w:t>
      </w:r>
      <w:r w:rsidRPr="002E3DC6">
        <w:rPr>
          <w:rFonts w:ascii="Cambria" w:eastAsia="Times New Roman" w:hAnsi="Cambria"/>
          <w:i/>
          <w:lang w:eastAsia="en-ID"/>
        </w:rPr>
        <w:t xml:space="preserve"> (CSR) has become increasingly critical in addressing the challenges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of social, economic, and environmental sustainability, particularly within the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energy sector. This study aims to analyze the implementation of the TBL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framework in the CSR programs of PT Pertamina Patra Niaga DPPU Supadio,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located in Kubu Raya Regency, with a focus on the connection between CSR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initiatives and their impact on local communities and the surrounding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environment. A descriptive qualitative approach was employed, utilizing in-depth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interviews, participatory observation, and document analysis, with informants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 xml:space="preserve">selected through </w:t>
      </w:r>
      <w:r w:rsidR="003A1FB2" w:rsidRPr="003A1FB2">
        <w:rPr>
          <w:rFonts w:ascii="Cambria" w:eastAsia="Times New Roman" w:hAnsi="Cambria"/>
          <w:i/>
          <w:iCs/>
          <w:lang w:eastAsia="en-ID"/>
        </w:rPr>
        <w:t>purposive sampling</w:t>
      </w:r>
      <w:r w:rsidRPr="002E3DC6">
        <w:rPr>
          <w:rFonts w:ascii="Cambria" w:eastAsia="Times New Roman" w:hAnsi="Cambria"/>
          <w:i/>
          <w:lang w:eastAsia="en-ID"/>
        </w:rPr>
        <w:t>. The findings reveal that the CSR programs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at DPPU Supadio have integrated all three dimensions of the TBL in a synergistic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manner strengthening the local economy through entrepreneurship initiatives,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enhancing social well-being via community training and healthcare services, and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promoting environmental stewardship through waste bank programs and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conservation efforts. This research contributes significantly to the body of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literature on locally grounded CSR practices and demonstrates that a CSR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approach grounded in the TBL framework can effectively foster stronger</w:t>
      </w:r>
      <w:r>
        <w:rPr>
          <w:rFonts w:ascii="Cambria" w:eastAsia="Times New Roman" w:hAnsi="Cambria"/>
          <w:i/>
          <w:lang w:eastAsia="en-ID"/>
        </w:rPr>
        <w:t xml:space="preserve"> </w:t>
      </w:r>
      <w:r w:rsidRPr="002E3DC6">
        <w:rPr>
          <w:rFonts w:ascii="Cambria" w:eastAsia="Times New Roman" w:hAnsi="Cambria"/>
          <w:i/>
          <w:lang w:eastAsia="en-ID"/>
        </w:rPr>
        <w:t>relationships between corporations and the communities they serve.</w:t>
      </w:r>
    </w:p>
    <w:p w14:paraId="71132194" w14:textId="04D43BC0" w:rsidR="00525CDD" w:rsidRDefault="005C40A4" w:rsidP="002E3DC6">
      <w:pPr>
        <w:spacing w:after="0"/>
        <w:ind w:left="567" w:right="567"/>
        <w:jc w:val="both"/>
        <w:rPr>
          <w:rFonts w:ascii="Cambria" w:hAnsi="Cambria"/>
          <w:i/>
          <w:color w:val="000000"/>
          <w:lang w:val="id-ID"/>
        </w:rPr>
      </w:pPr>
      <w:r>
        <w:rPr>
          <w:rFonts w:ascii="Cambria" w:hAnsi="Cambria"/>
          <w:b/>
          <w:i/>
          <w:color w:val="000000"/>
        </w:rPr>
        <w:t xml:space="preserve">Keywords: </w:t>
      </w:r>
      <w:r w:rsidR="003A1FB2" w:rsidRPr="003A1FB2">
        <w:rPr>
          <w:rFonts w:ascii="Cambria" w:eastAsia="Times New Roman" w:hAnsi="Cambria"/>
          <w:i/>
          <w:iCs/>
          <w:lang w:eastAsia="en-ID"/>
        </w:rPr>
        <w:t>Corporate Social Responsibility</w:t>
      </w:r>
      <w:r w:rsidR="002E3DC6" w:rsidRPr="002E3DC6">
        <w:rPr>
          <w:rFonts w:ascii="Cambria" w:eastAsia="Times New Roman" w:hAnsi="Cambria"/>
          <w:i/>
          <w:lang w:eastAsia="en-ID"/>
        </w:rPr>
        <w:t xml:space="preserve">, </w:t>
      </w:r>
      <w:r w:rsidR="003A1FB2" w:rsidRPr="003A1FB2">
        <w:rPr>
          <w:rFonts w:ascii="Cambria" w:eastAsia="Times New Roman" w:hAnsi="Cambria"/>
          <w:i/>
          <w:iCs/>
          <w:lang w:eastAsia="en-ID"/>
        </w:rPr>
        <w:t>Triple Bottom Line</w:t>
      </w:r>
      <w:r w:rsidR="00A7189A">
        <w:rPr>
          <w:rFonts w:ascii="Cambria" w:eastAsia="Times New Roman" w:hAnsi="Cambria"/>
          <w:i/>
          <w:lang w:eastAsia="en-ID"/>
        </w:rPr>
        <w:t>, Sustainability</w:t>
      </w:r>
    </w:p>
    <w:p w14:paraId="05FC0ECC" w14:textId="77777777" w:rsidR="00525CDD" w:rsidRDefault="00525CDD" w:rsidP="00525CDD">
      <w:pPr>
        <w:spacing w:after="0"/>
        <w:ind w:left="567" w:right="585"/>
        <w:rPr>
          <w:rFonts w:ascii="Cambria" w:hAnsi="Cambria"/>
          <w:b/>
          <w:color w:val="000000"/>
        </w:rPr>
      </w:pPr>
    </w:p>
    <w:p w14:paraId="31D06E78" w14:textId="77777777" w:rsidR="00525CDD" w:rsidRDefault="00525CDD" w:rsidP="00525CDD">
      <w:pPr>
        <w:spacing w:after="0"/>
        <w:ind w:left="567" w:right="585"/>
        <w:jc w:val="center"/>
        <w:rPr>
          <w:rFonts w:ascii="Cambria" w:hAnsi="Cambria"/>
          <w:b/>
          <w:color w:val="000000"/>
        </w:rPr>
      </w:pPr>
      <w:r>
        <w:rPr>
          <w:rFonts w:ascii="Cambria" w:hAnsi="Cambria"/>
          <w:b/>
          <w:color w:val="000000"/>
        </w:rPr>
        <w:t>Abstrak</w:t>
      </w:r>
    </w:p>
    <w:p w14:paraId="242ABA93" w14:textId="1540B9E9" w:rsidR="00000101" w:rsidRPr="00526BE5" w:rsidRDefault="00F85B47" w:rsidP="00F85B47">
      <w:pPr>
        <w:spacing w:after="0"/>
        <w:ind w:left="540" w:right="585"/>
        <w:jc w:val="both"/>
        <w:rPr>
          <w:rFonts w:ascii="Cambria" w:hAnsi="Cambria" w:cs="Arial"/>
          <w:color w:val="000000"/>
        </w:rPr>
      </w:pPr>
      <w:r w:rsidRPr="00F85B47">
        <w:rPr>
          <w:rFonts w:ascii="Cambria" w:eastAsia="Times New Roman" w:hAnsi="Cambria"/>
          <w:lang w:eastAsia="en-ID"/>
        </w:rPr>
        <w:t xml:space="preserve">Penerapan prinsip </w:t>
      </w:r>
      <w:r w:rsidR="003A1FB2" w:rsidRPr="003A1FB2">
        <w:rPr>
          <w:rFonts w:ascii="Cambria" w:eastAsia="Times New Roman" w:hAnsi="Cambria"/>
          <w:i/>
          <w:iCs/>
          <w:lang w:eastAsia="en-ID"/>
        </w:rPr>
        <w:t>Triple Bottom Line</w:t>
      </w:r>
      <w:r w:rsidRPr="00F85B47">
        <w:rPr>
          <w:rFonts w:ascii="Cambria" w:eastAsia="Times New Roman" w:hAnsi="Cambria"/>
          <w:lang w:eastAsia="en-ID"/>
        </w:rPr>
        <w:t xml:space="preserve"> (TBL) dalam </w:t>
      </w:r>
      <w:r w:rsidR="003A1FB2" w:rsidRPr="003A1FB2">
        <w:rPr>
          <w:rFonts w:ascii="Cambria" w:eastAsia="Times New Roman" w:hAnsi="Cambria"/>
          <w:i/>
          <w:iCs/>
          <w:lang w:eastAsia="en-ID"/>
        </w:rPr>
        <w:t>Corporate Social Responsibility</w:t>
      </w:r>
      <w:r w:rsidRPr="00F85B47">
        <w:rPr>
          <w:rFonts w:ascii="Cambria" w:eastAsia="Times New Roman" w:hAnsi="Cambria"/>
          <w:lang w:eastAsia="en-ID"/>
        </w:rPr>
        <w:t xml:space="preserve"> (CSR) menjadi semakin krusial dalam menghadapi tantangan</w:t>
      </w:r>
      <w:r>
        <w:rPr>
          <w:rFonts w:ascii="Cambria" w:eastAsia="Times New Roman" w:hAnsi="Cambria"/>
          <w:lang w:eastAsia="en-ID"/>
        </w:rPr>
        <w:t xml:space="preserve"> </w:t>
      </w:r>
      <w:r w:rsidRPr="00F85B47">
        <w:rPr>
          <w:rFonts w:ascii="Cambria" w:eastAsia="Times New Roman" w:hAnsi="Cambria"/>
          <w:lang w:eastAsia="en-ID"/>
        </w:rPr>
        <w:t>keberlanjutan sosial, ekonomi, dan lingkungan, khususnya di sektor energi.</w:t>
      </w:r>
      <w:r>
        <w:rPr>
          <w:rFonts w:ascii="Cambria" w:eastAsia="Times New Roman" w:hAnsi="Cambria"/>
          <w:lang w:eastAsia="en-ID"/>
        </w:rPr>
        <w:t xml:space="preserve"> </w:t>
      </w:r>
      <w:r w:rsidRPr="00F85B47">
        <w:rPr>
          <w:rFonts w:ascii="Cambria" w:eastAsia="Times New Roman" w:hAnsi="Cambria"/>
          <w:lang w:eastAsia="en-ID"/>
        </w:rPr>
        <w:t>Penelitian ini bertujuan untuk menganalisis pelaksanaan konsep TBL dalam</w:t>
      </w:r>
      <w:r>
        <w:rPr>
          <w:rFonts w:ascii="Cambria" w:eastAsia="Times New Roman" w:hAnsi="Cambria"/>
          <w:lang w:eastAsia="en-ID"/>
        </w:rPr>
        <w:t xml:space="preserve"> </w:t>
      </w:r>
      <w:r w:rsidRPr="00F85B47">
        <w:rPr>
          <w:rFonts w:ascii="Cambria" w:eastAsia="Times New Roman" w:hAnsi="Cambria"/>
          <w:lang w:eastAsia="en-ID"/>
        </w:rPr>
        <w:t>program CSR PT Pertamina Patra Niaga DPPU Supadio Kabupaten Kubu Raya</w:t>
      </w:r>
      <w:r>
        <w:rPr>
          <w:rFonts w:ascii="Cambria" w:eastAsia="Times New Roman" w:hAnsi="Cambria"/>
          <w:lang w:eastAsia="en-ID"/>
        </w:rPr>
        <w:t xml:space="preserve"> </w:t>
      </w:r>
      <w:r w:rsidRPr="00F85B47">
        <w:rPr>
          <w:rFonts w:ascii="Cambria" w:eastAsia="Times New Roman" w:hAnsi="Cambria"/>
          <w:lang w:eastAsia="en-ID"/>
        </w:rPr>
        <w:t>dengan menekankan keterkaitan antara program CSR dan dampaknya terhadap</w:t>
      </w:r>
      <w:r w:rsidR="005614A2" w:rsidRPr="00526BE5">
        <w:rPr>
          <w:rFonts w:ascii="Cambria" w:hAnsi="Cambria" w:cs="Arial"/>
          <w:color w:val="000000"/>
        </w:rPr>
        <w:t>.</w:t>
      </w:r>
      <w:r w:rsidR="00000101" w:rsidRPr="00526BE5"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 xml:space="preserve">masyarakat serta lingkungan sekitar. Pendekatan kualitatif </w:t>
      </w:r>
      <w:r w:rsidRPr="00F85B47">
        <w:rPr>
          <w:rFonts w:ascii="Cambria" w:hAnsi="Cambria" w:cs="Arial"/>
          <w:color w:val="000000"/>
        </w:rPr>
        <w:lastRenderedPageBreak/>
        <w:t>deskriptif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digunakan dalam penelitian ini dengan teknik pengumpulan data berupa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wawancara mendalam, observasi partisipatif, dan studi dokumentasi, serta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 xml:space="preserve">pemilihan informan menggunakan teknik </w:t>
      </w:r>
      <w:r w:rsidR="003A1FB2" w:rsidRPr="003A1FB2">
        <w:rPr>
          <w:rFonts w:ascii="Cambria" w:hAnsi="Cambria" w:cs="Arial"/>
          <w:i/>
          <w:iCs/>
          <w:color w:val="000000"/>
        </w:rPr>
        <w:t>purposive sampling</w:t>
      </w:r>
      <w:r w:rsidRPr="00F85B47">
        <w:rPr>
          <w:rFonts w:ascii="Cambria" w:hAnsi="Cambria" w:cs="Arial"/>
          <w:color w:val="000000"/>
        </w:rPr>
        <w:t>. Hasil penelitian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menunjukkan bahwa implementasi CSR di DPPU Supadio telah mencakup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ketiga aspek TBL secara sinergis, seperti penguatan ekonomi lokal melalui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program kewirausahaan, peningkatan kualitas sosial melalui pelatihan dan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layanan kesehatan komunitas, serta pengelolaan lingkungan melalui program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bank sampah dan konservasi. Penelitian ini memberikan kontribusi penting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dalam memperkaya literatur CSR berbasis lokal dan menunjukkan bahwa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pendekatan CSR yang terintegrasi dengan prinsip TBL mampu memperkuat</w:t>
      </w:r>
      <w:r>
        <w:rPr>
          <w:rFonts w:ascii="Cambria" w:hAnsi="Cambria" w:cs="Arial"/>
          <w:color w:val="000000"/>
        </w:rPr>
        <w:t xml:space="preserve"> </w:t>
      </w:r>
      <w:r w:rsidRPr="00F85B47">
        <w:rPr>
          <w:rFonts w:ascii="Cambria" w:hAnsi="Cambria" w:cs="Arial"/>
          <w:color w:val="000000"/>
        </w:rPr>
        <w:t>hubungan perusahaan dengan komunitas</w:t>
      </w:r>
    </w:p>
    <w:p w14:paraId="4FA7A744" w14:textId="61987053" w:rsidR="00DC092E" w:rsidRPr="00726D57" w:rsidRDefault="00000101" w:rsidP="00A7189A">
      <w:pPr>
        <w:spacing w:after="0"/>
        <w:ind w:left="539" w:right="584"/>
        <w:jc w:val="both"/>
        <w:rPr>
          <w:rFonts w:ascii="Cambria" w:hAnsi="Cambria"/>
          <w:color w:val="000000"/>
          <w:lang w:val="id-ID"/>
        </w:rPr>
      </w:pPr>
      <w:r w:rsidRPr="00526BE5">
        <w:rPr>
          <w:rFonts w:ascii="Cambria" w:hAnsi="Cambria"/>
          <w:b/>
          <w:color w:val="000000"/>
        </w:rPr>
        <w:t xml:space="preserve">Kata kunci: </w:t>
      </w:r>
      <w:r w:rsidR="003A1FB2" w:rsidRPr="003A1FB2">
        <w:rPr>
          <w:rFonts w:ascii="Cambria" w:eastAsia="Times New Roman" w:hAnsi="Cambria"/>
          <w:i/>
          <w:iCs/>
          <w:lang w:eastAsia="en-ID"/>
        </w:rPr>
        <w:t>Corporate Social Responsibility</w:t>
      </w:r>
      <w:r w:rsidR="00F85B47" w:rsidRPr="00F85B47">
        <w:rPr>
          <w:rFonts w:ascii="Cambria" w:eastAsia="Times New Roman" w:hAnsi="Cambria"/>
          <w:lang w:eastAsia="en-ID"/>
        </w:rPr>
        <w:t xml:space="preserve">, </w:t>
      </w:r>
      <w:r w:rsidR="003A1FB2" w:rsidRPr="003A1FB2">
        <w:rPr>
          <w:rFonts w:ascii="Cambria" w:eastAsia="Times New Roman" w:hAnsi="Cambria"/>
          <w:i/>
          <w:iCs/>
          <w:lang w:eastAsia="en-ID"/>
        </w:rPr>
        <w:t>Triple Bottom Line</w:t>
      </w:r>
      <w:r w:rsidR="00A7189A">
        <w:rPr>
          <w:rFonts w:ascii="Cambria" w:eastAsia="Times New Roman" w:hAnsi="Cambria"/>
          <w:lang w:eastAsia="en-ID"/>
        </w:rPr>
        <w:t>, Keberlanjutan</w:t>
      </w:r>
    </w:p>
    <w:p w14:paraId="3DF925A7" w14:textId="77777777" w:rsidR="00A7189A" w:rsidRDefault="00A7189A" w:rsidP="00DC1C9D">
      <w:pPr>
        <w:spacing w:after="0" w:line="360" w:lineRule="auto"/>
        <w:jc w:val="both"/>
        <w:rPr>
          <w:rFonts w:ascii="Cambria" w:hAnsi="Cambria"/>
          <w:b/>
          <w:color w:val="000000"/>
          <w:sz w:val="24"/>
          <w:szCs w:val="24"/>
        </w:rPr>
      </w:pPr>
    </w:p>
    <w:p w14:paraId="745C6F25" w14:textId="37E10C75" w:rsidR="002438B3" w:rsidRPr="00DC1C9D" w:rsidRDefault="00D20EC5" w:rsidP="00DC1C9D">
      <w:pPr>
        <w:spacing w:after="0" w:line="360" w:lineRule="auto"/>
        <w:jc w:val="both"/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>PENDAHULUAN</w:t>
      </w:r>
      <w:r w:rsidR="002438B3" w:rsidRPr="002438B3">
        <w:rPr>
          <w:rFonts w:ascii="Cambria" w:hAnsi="Cambria" w:cs="Arial"/>
          <w:color w:val="000000"/>
          <w:sz w:val="24"/>
          <w:szCs w:val="24"/>
        </w:rPr>
        <w:t xml:space="preserve"> </w:t>
      </w:r>
    </w:p>
    <w:p w14:paraId="439A8D40" w14:textId="2DC966AA" w:rsidR="00F85B47" w:rsidRPr="00F85B47" w:rsidRDefault="00F85B47" w:rsidP="00F85B47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 xml:space="preserve">Penerapan konsep </w:t>
      </w:r>
      <w:r w:rsidR="003A1FB2" w:rsidRPr="003A1FB2">
        <w:rPr>
          <w:rFonts w:ascii="Cambria" w:hAnsi="Cambria"/>
          <w:i/>
          <w:iCs/>
          <w:sz w:val="24"/>
          <w:szCs w:val="24"/>
        </w:rPr>
        <w:t>Triple Bottom Line</w:t>
      </w:r>
      <w:r w:rsidRPr="00F85B47">
        <w:rPr>
          <w:rFonts w:ascii="Cambria" w:hAnsi="Cambria"/>
          <w:sz w:val="24"/>
          <w:szCs w:val="24"/>
        </w:rPr>
        <w:t xml:space="preserve"> (TBL) dalam praktik tanggung jawab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 xml:space="preserve">sosial perusahaan atau </w:t>
      </w:r>
      <w:r w:rsidR="003A1FB2"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F85B47">
        <w:rPr>
          <w:rFonts w:ascii="Cambria" w:hAnsi="Cambria"/>
          <w:sz w:val="24"/>
          <w:szCs w:val="24"/>
        </w:rPr>
        <w:t xml:space="preserve"> (CSR) semakin menjadi </w:t>
      </w:r>
      <w:r>
        <w:rPr>
          <w:rFonts w:ascii="Cambria" w:hAnsi="Cambria"/>
          <w:sz w:val="24"/>
          <w:szCs w:val="24"/>
        </w:rPr>
        <w:t>fo</w:t>
      </w:r>
      <w:r w:rsidR="00274B84">
        <w:rPr>
          <w:rFonts w:ascii="Cambria" w:hAnsi="Cambria"/>
          <w:sz w:val="24"/>
          <w:szCs w:val="24"/>
        </w:rPr>
        <w:t>k</w:t>
      </w:r>
      <w:r>
        <w:rPr>
          <w:rFonts w:ascii="Cambria" w:hAnsi="Cambria"/>
          <w:sz w:val="24"/>
          <w:szCs w:val="24"/>
        </w:rPr>
        <w:t xml:space="preserve">us </w:t>
      </w:r>
      <w:r w:rsidRPr="00F85B47">
        <w:rPr>
          <w:rFonts w:ascii="Cambria" w:hAnsi="Cambria"/>
          <w:sz w:val="24"/>
          <w:szCs w:val="24"/>
        </w:rPr>
        <w:t>penting dalam pengelolaan keberlanjutan perusahaan energi, khususnya di sektor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bahan bakar aviasi (Castilla-Polo &amp; Sánchez-Hernández, 2025). Ketergantungan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masyarakat dan industri terhadap energi fosil menuntut perusahaan seperti PT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Pertamina Patra Niaga untuk menyeimbangkan kinerja ekonomi, lingkungan, dan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sosial secara berkelanjutan (Shams et al., 2025). Konteks ini mengarah pada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kebutuhan pengelolaan CSR yang tidak hanya bersifat simbolik, melainkan strategis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dan berdampak langsung pada masyarakat dan lingkungan lokal.</w:t>
      </w:r>
    </w:p>
    <w:p w14:paraId="5DA35D4C" w14:textId="28D00C6D" w:rsidR="000B6A2D" w:rsidRPr="000B6A2D" w:rsidRDefault="00F85B47" w:rsidP="00F85B47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>Transformasi global menuju ekonomi hijau dan rendah karbon menekan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sektor transportasi udara untuk melakukan transisi keberlanjutan yang konkret,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termasuk melalui skema pengisian bahan bakar berkelanjutan (George, 2025).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Perubahan paradigma ini mendorong perusahaan untuk mengintegrasikan praktik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 xml:space="preserve">keberlanjutan dalam strategi bisnis mereka untuk memenuhi harapan </w:t>
      </w:r>
      <w:r>
        <w:rPr>
          <w:rFonts w:ascii="Cambria" w:hAnsi="Cambria"/>
          <w:sz w:val="24"/>
          <w:szCs w:val="24"/>
        </w:rPr>
        <w:t xml:space="preserve">Masyarakat </w:t>
      </w:r>
      <w:r w:rsidRPr="00F85B47">
        <w:rPr>
          <w:rFonts w:ascii="Cambria" w:hAnsi="Cambria"/>
          <w:sz w:val="24"/>
          <w:szCs w:val="24"/>
        </w:rPr>
        <w:t>dan menciptakan nilai jangka panjang (Nikolenko et al., 2024). Oleh karena itu,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pendekatan CSR yang terintegrasi dengan prinsip TBL menjadi alat ukur utama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dalam menilai kinerja etis korporasi energi</w:t>
      </w:r>
      <w:r w:rsidR="000B6A2D" w:rsidRPr="000B6A2D">
        <w:rPr>
          <w:rFonts w:ascii="Cambria" w:hAnsi="Cambria"/>
          <w:sz w:val="24"/>
          <w:szCs w:val="24"/>
        </w:rPr>
        <w:t xml:space="preserve">. </w:t>
      </w:r>
    </w:p>
    <w:p w14:paraId="4FC08860" w14:textId="1C44A722" w:rsidR="00F85B47" w:rsidRPr="00F85B47" w:rsidRDefault="00F85B47" w:rsidP="00F85B47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>PT Pertamina Patra Niaga sebagai entitas strategis negara memiliki tanggung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jawab besar terhadap keberlangsungan sosial di wilayah operasionalnya, terutama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pada wilayah yang terdampak langsung oleh aktivitas operasional seperti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Kabupaten Kubu Raya (Gonzalez-Padron et al., 2025). Dengan status sebagai depot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pengisian bahan bakar pesawat udara, perusahaan tidak hanya menghadapi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tekanan efisiensi operasional, tetapi juga ekspektasi sosial terkait transparansi dan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dampak lingkungan. Implementasi TBL menawarkan kerangka evaluasi kinerja CSR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yang sistematis untuk menjawab tuntutan tersebut.</w:t>
      </w:r>
    </w:p>
    <w:p w14:paraId="0E9C047F" w14:textId="4338C313" w:rsidR="00F85B47" w:rsidRPr="00F85B47" w:rsidRDefault="00F85B47" w:rsidP="00F85B47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>Kajian terbaru menunjukkan bahwa keberhasilan CSR dalam mendukung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reputasi dan kinerja perusahaan sangat bergantung pada bagaimana integrasi aspek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people, planet, dan profit dijalankan (Vesala-Varttala et al., 2025). Oleh karena itu,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pembahasan tentang bagaimana PT Pertamina Patra Niaga mengadopsi TBL dalam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program CSR di DPPU Supadio memiliki relevansi strategis bagi pengembangan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kebijakan CSR berbasis keberlanjutan nasional. Posisi strategis depot tersebut yang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beroperasi di wilayah perbatasan menjadikan praktik CSR sebagai alat diplomasi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sosial.</w:t>
      </w:r>
    </w:p>
    <w:p w14:paraId="092D3A36" w14:textId="7EDC645C" w:rsidR="00F85B47" w:rsidRPr="00F85B47" w:rsidRDefault="00F85B47" w:rsidP="00F85B47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>Implementasi kebijakan yang tercantum pada Peraturan Pemerintah No. 22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Tahun 2021 tentang Perlindungan dan Pengelolaan Lingkungan Hidup diharapkan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dapat mendorong perusahaan untuk meningkatkan pengungkapan CSR dan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berkontribusi pada keberlanjutan ekonomi, sosial, dan lingkungan (Yunari et al.,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2019). Lebih lanjut, kebutuhan transparansi pelaporan keberlanjutan menjadi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semakin kritikal seiring penerapan sistem ESG (</w:t>
      </w:r>
      <w:r w:rsidRPr="00274B84">
        <w:rPr>
          <w:rFonts w:ascii="Cambria" w:hAnsi="Cambria"/>
          <w:i/>
          <w:iCs/>
          <w:sz w:val="24"/>
          <w:szCs w:val="24"/>
        </w:rPr>
        <w:t>Environmental, Social, and Governance</w:t>
      </w:r>
      <w:r w:rsidRPr="00F85B47">
        <w:rPr>
          <w:rFonts w:ascii="Cambria" w:hAnsi="Cambria"/>
          <w:sz w:val="24"/>
          <w:szCs w:val="24"/>
        </w:rPr>
        <w:t>) oleh lembaga keuangan global (Minutiello, 2025). Oleh karena itu,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artikel ini mengangkat isu penting tentang keterbukaan dan keberlanjutan dalam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pelaksanaan tanggung jawab sosial korporasi.</w:t>
      </w:r>
    </w:p>
    <w:p w14:paraId="5AE945B5" w14:textId="57BE1E8F" w:rsidR="00F85B47" w:rsidRPr="00F85B47" w:rsidRDefault="00F85B47" w:rsidP="00F85B47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>Ketidakseimbangan antara fokus ekonomi dengan dimensi sosial dan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 xml:space="preserve">lingkungan sering kali menjadi kritik terhadap pelaksanaan CSR oleh </w:t>
      </w:r>
      <w:r>
        <w:rPr>
          <w:rFonts w:ascii="Cambria" w:hAnsi="Cambria"/>
          <w:sz w:val="24"/>
          <w:szCs w:val="24"/>
        </w:rPr>
        <w:t xml:space="preserve">Perusahaan </w:t>
      </w:r>
      <w:r w:rsidRPr="00F85B47">
        <w:rPr>
          <w:rFonts w:ascii="Cambria" w:hAnsi="Cambria"/>
          <w:sz w:val="24"/>
          <w:szCs w:val="24"/>
        </w:rPr>
        <w:t>energi di Indonesia (Shams et al., 2025). Meskipun laporan keberlanjutan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menunjukkan keterlibatan sosial, tidak semua inisiatif CSR benar-benar menjawab</w:t>
      </w:r>
      <w:r w:rsidRPr="00F85B47">
        <w:t xml:space="preserve"> </w:t>
      </w:r>
      <w:r w:rsidRPr="00F85B47">
        <w:rPr>
          <w:rFonts w:ascii="Cambria" w:hAnsi="Cambria"/>
          <w:sz w:val="24"/>
          <w:szCs w:val="24"/>
        </w:rPr>
        <w:t>kebutuhan riil komunitas lokal. Hal ini menimbulkan pertanyaan besar tentang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efektivitas dan kejujuran dalam pelaksanaan CSR yang selama ini masih bersifat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normatif. Konteks DPPU Supadio yang berlokasi di kawasan strategis membuat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persoalan ini menjadi lebih kompleks.</w:t>
      </w:r>
    </w:p>
    <w:p w14:paraId="55867842" w14:textId="0C01B1BC" w:rsidR="00F85B47" w:rsidRPr="00F85B47" w:rsidRDefault="00F85B47" w:rsidP="00F85B47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>Ketimpangan antara dokumentasi CSR formal dan dampak nyata yang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dirasakan masyarakat menciptakan kesenjangan antara persepsi dan realitas CSR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(Hollebeek et al., 2025). Sebuah studi oleh Jayiya et al. (2022) menegaskan bahwa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pendekatan TBL juga memerlukan komitmen dan kolaborasi yang kuat antara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berbagai pihak untuk mencapai hasil yang diinginkan. Keterlibatan aktif semua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pemangku kepentingan dapat meningkatkan efektivitas pendekatan TBL dalam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mencapai tujuan keberlanjutan yang lebih baik. Dengan demikian, fokus pada depot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bahan bakar seperti DPPU Supadio menjadi krusial untuk mengevaluasi efektivitas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CSR yang diterapkan secara lokal.</w:t>
      </w:r>
    </w:p>
    <w:p w14:paraId="10FC7825" w14:textId="3FF05543" w:rsidR="00F85B47" w:rsidRPr="00F85B47" w:rsidRDefault="00F85B47" w:rsidP="00F85B47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 xml:space="preserve">Berbagai penelitian di Indonesia telah mengkaji penerapan konsep </w:t>
      </w:r>
      <w:r w:rsidR="003A1FB2" w:rsidRPr="003A1FB2">
        <w:rPr>
          <w:rFonts w:ascii="Cambria" w:hAnsi="Cambria"/>
          <w:i/>
          <w:iCs/>
          <w:sz w:val="24"/>
          <w:szCs w:val="24"/>
        </w:rPr>
        <w:t>Triple Bottom Line</w:t>
      </w:r>
      <w:r w:rsidRPr="00F85B47">
        <w:rPr>
          <w:rFonts w:ascii="Cambria" w:hAnsi="Cambria"/>
          <w:sz w:val="24"/>
          <w:szCs w:val="24"/>
        </w:rPr>
        <w:t xml:space="preserve"> (TBL) dalam program </w:t>
      </w:r>
      <w:r w:rsidR="003A1FB2"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F85B47">
        <w:rPr>
          <w:rFonts w:ascii="Cambria" w:hAnsi="Cambria"/>
          <w:sz w:val="24"/>
          <w:szCs w:val="24"/>
        </w:rPr>
        <w:t xml:space="preserve"> (CSR) dengan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pendekatan dan konteks yang beragam, memperkuat relevansi kajian ini secara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 xml:space="preserve">praktis dan akademik (Suhartini et al., 2024). Integrasi aspek lingkungan dan </w:t>
      </w:r>
      <w:r>
        <w:rPr>
          <w:rFonts w:ascii="Cambria" w:hAnsi="Cambria"/>
          <w:sz w:val="24"/>
          <w:szCs w:val="24"/>
        </w:rPr>
        <w:t xml:space="preserve">social </w:t>
      </w:r>
      <w:r w:rsidRPr="00F85B47">
        <w:rPr>
          <w:rFonts w:ascii="Cambria" w:hAnsi="Cambria"/>
          <w:sz w:val="24"/>
          <w:szCs w:val="24"/>
        </w:rPr>
        <w:t>melalui pelaporan keberlanjutan terbukti berdampak signifikan terhadap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peningkatan nilai perusahaan di sektor manufaktur (Suhartini et al., 2024).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Efektivitas pelibatan masyarakat lokal dalam CSR eksternal juga telah dikaji pada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perusahaan milik negara, menunjukkan peningkatan loyalitas organisasi dan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praktik kepemimpinan yang etis (Hamdani et al., 2024). Studi-studi ini memberikan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 xml:space="preserve">dasar empiris kuat untuk mengevaluasi implementasi CSR berbasis TBL di </w:t>
      </w:r>
      <w:r>
        <w:rPr>
          <w:rFonts w:ascii="Cambria" w:hAnsi="Cambria"/>
          <w:sz w:val="24"/>
          <w:szCs w:val="24"/>
        </w:rPr>
        <w:t xml:space="preserve">Tingkat </w:t>
      </w:r>
      <w:r w:rsidRPr="00F85B47">
        <w:rPr>
          <w:rFonts w:ascii="Cambria" w:hAnsi="Cambria"/>
          <w:sz w:val="24"/>
          <w:szCs w:val="24"/>
        </w:rPr>
        <w:t>lokal.</w:t>
      </w:r>
    </w:p>
    <w:p w14:paraId="06864757" w14:textId="1E614BA6" w:rsidR="00F85B47" w:rsidRPr="00F85B47" w:rsidRDefault="00F85B47" w:rsidP="00F85B47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>Minimnya kajian berbasis lokasi pada implementasi CSR berbasis TBL di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depot pengisian pesawat menjadi dasar utama penelitian ini. Padahal unit-unit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operasional seperti DPPU Supadio memiliki peran signifikan dalam menjaga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reputasi dan keberlanjutan jangka panjang perusahaan (Castilla-Polo &amp; SánchezHernández, 2025). Kesenjangan riset ini perlu dijawab melalui pendekatan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kualitatif yang menggali pemahaman dari para pelaku dan penerima program CSR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secara langsung. Studi lokal seperti ini penting untuk menyusun kebijakan yang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tidak hanya top-down tetapi juga berbasis bukti lokal (</w:t>
      </w:r>
      <w:r w:rsidRPr="00274B84">
        <w:rPr>
          <w:rFonts w:ascii="Cambria" w:hAnsi="Cambria"/>
          <w:i/>
          <w:iCs/>
          <w:sz w:val="24"/>
          <w:szCs w:val="24"/>
        </w:rPr>
        <w:t>bottom-up evidence</w:t>
      </w:r>
      <w:r w:rsidRPr="00F85B47">
        <w:rPr>
          <w:rFonts w:ascii="Cambria" w:hAnsi="Cambria"/>
          <w:sz w:val="24"/>
          <w:szCs w:val="24"/>
        </w:rPr>
        <w:t>).</w:t>
      </w:r>
    </w:p>
    <w:p w14:paraId="0276BDAE" w14:textId="2A058237" w:rsidR="000B6A2D" w:rsidRPr="000B6A2D" w:rsidRDefault="00F85B47" w:rsidP="00F85B47">
      <w:pPr>
        <w:spacing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F85B47">
        <w:rPr>
          <w:rFonts w:ascii="Cambria" w:hAnsi="Cambria"/>
          <w:sz w:val="24"/>
          <w:szCs w:val="24"/>
        </w:rPr>
        <w:t xml:space="preserve">Tujuan penelitian ini untuk menganalisis pelaksanaan prinsip </w:t>
      </w:r>
      <w:r w:rsidR="003A1FB2" w:rsidRPr="003A1FB2">
        <w:rPr>
          <w:rFonts w:ascii="Cambria" w:hAnsi="Cambria"/>
          <w:i/>
          <w:iCs/>
          <w:sz w:val="24"/>
          <w:szCs w:val="24"/>
        </w:rPr>
        <w:t>Triple Bottom Line</w:t>
      </w:r>
      <w:r w:rsidRPr="00F85B47">
        <w:rPr>
          <w:rFonts w:ascii="Cambria" w:hAnsi="Cambria"/>
          <w:sz w:val="24"/>
          <w:szCs w:val="24"/>
        </w:rPr>
        <w:t xml:space="preserve"> dalam kegiatan CSR PT Pertamina Patra Niaga di DPPU Supadio Kabupaten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Kubu Raya. Fokus utama penelitian diarahkan pada bagaimana aspek ekonomi,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sosial, dan lingkungan diintegrasikan dalam kebijakan CSR serta bagaimana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dampaknya dirasakan oleh pemangku kepentingan lokal. Kajian ini diharapkan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mampu memberikan masukan strategis bagi penyusunan program CSR yang lebih</w:t>
      </w:r>
      <w:r>
        <w:rPr>
          <w:rFonts w:ascii="Cambria" w:hAnsi="Cambria"/>
          <w:sz w:val="24"/>
          <w:szCs w:val="24"/>
        </w:rPr>
        <w:t xml:space="preserve"> </w:t>
      </w:r>
      <w:r w:rsidRPr="00F85B47">
        <w:rPr>
          <w:rFonts w:ascii="Cambria" w:hAnsi="Cambria"/>
          <w:sz w:val="24"/>
          <w:szCs w:val="24"/>
        </w:rPr>
        <w:t>akuntabel, partisipatif, dan berdampak lua</w:t>
      </w:r>
      <w:r>
        <w:rPr>
          <w:rFonts w:ascii="Cambria" w:hAnsi="Cambria"/>
          <w:sz w:val="24"/>
          <w:szCs w:val="24"/>
        </w:rPr>
        <w:t>s</w:t>
      </w:r>
      <w:r w:rsidR="000B6A2D" w:rsidRPr="000B6A2D">
        <w:rPr>
          <w:rFonts w:ascii="Cambria" w:hAnsi="Cambria"/>
          <w:sz w:val="24"/>
          <w:szCs w:val="24"/>
        </w:rPr>
        <w:t xml:space="preserve">. </w:t>
      </w:r>
    </w:p>
    <w:p w14:paraId="20576F64" w14:textId="77777777" w:rsidR="000B6A2D" w:rsidRPr="000B6A2D" w:rsidRDefault="000B6A2D" w:rsidP="000B6A2D">
      <w:pPr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0B6A2D">
        <w:rPr>
          <w:rFonts w:ascii="Cambria" w:hAnsi="Cambria"/>
          <w:b/>
          <w:bCs/>
          <w:sz w:val="24"/>
          <w:szCs w:val="24"/>
        </w:rPr>
        <w:t>METODE PENELITIAN</w:t>
      </w:r>
    </w:p>
    <w:p w14:paraId="617A8865" w14:textId="0ECA6052" w:rsidR="00D15862" w:rsidRPr="00D15862" w:rsidRDefault="00D15862" w:rsidP="00D15862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D15862">
        <w:rPr>
          <w:rFonts w:ascii="Cambria" w:hAnsi="Cambria"/>
          <w:sz w:val="24"/>
          <w:szCs w:val="24"/>
        </w:rPr>
        <w:t>Penelitian ini menggunakan pendekatan kualitatif deskriptif yang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menekankan pemahaman mendalam terhadap fenomena sosial dari perspektif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partisipan (Rahmawati &amp; Jiang, 2019). Pendekatan ini sangat tepat digunakan dalam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 xml:space="preserve">menelusuri implementasi CSR berbasis </w:t>
      </w:r>
      <w:r w:rsidR="003A1FB2" w:rsidRPr="003A1FB2">
        <w:rPr>
          <w:rFonts w:ascii="Cambria" w:hAnsi="Cambria"/>
          <w:i/>
          <w:iCs/>
          <w:sz w:val="24"/>
          <w:szCs w:val="24"/>
        </w:rPr>
        <w:t>Triple Bottom Line</w:t>
      </w:r>
      <w:r w:rsidRPr="00D15862">
        <w:rPr>
          <w:rFonts w:ascii="Cambria" w:hAnsi="Cambria"/>
          <w:sz w:val="24"/>
          <w:szCs w:val="24"/>
        </w:rPr>
        <w:t xml:space="preserve"> karena memungkinkan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eksplorasi nilai, motivasi, serta persepsi pelaku dan penerima manfaat program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(Radyati &amp; Tjahjono, 2021). Desain kualitatif deskriptif dinilai mampu menangkap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kompleksitas interaksi sosial dan dinamika lokal dalam pelaksanaan program CSR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oleh unit operasional perusahaan (Gunawan, 2021). Penelitian ini melibatkan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 xml:space="preserve">informan utama yang dipilih secara </w:t>
      </w:r>
      <w:r w:rsidR="003A1FB2" w:rsidRPr="003A1FB2">
        <w:rPr>
          <w:rFonts w:ascii="Cambria" w:hAnsi="Cambria"/>
          <w:i/>
          <w:iCs/>
          <w:sz w:val="24"/>
          <w:szCs w:val="24"/>
        </w:rPr>
        <w:t>purposive sampling</w:t>
      </w:r>
      <w:r w:rsidRPr="00D15862">
        <w:rPr>
          <w:rFonts w:ascii="Cambria" w:hAnsi="Cambria"/>
          <w:sz w:val="24"/>
          <w:szCs w:val="24"/>
        </w:rPr>
        <w:t>, meliputi staf head office,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pelaksana CSR, dan penerima manfaat dari masyarakat sekitar DPPU Supadio.</w:t>
      </w:r>
    </w:p>
    <w:p w14:paraId="71B9D94E" w14:textId="41408847" w:rsidR="00D15862" w:rsidRPr="00D15862" w:rsidRDefault="00D15862" w:rsidP="00D15862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D15862">
        <w:rPr>
          <w:rFonts w:ascii="Cambria" w:hAnsi="Cambria"/>
          <w:sz w:val="24"/>
          <w:szCs w:val="24"/>
        </w:rPr>
        <w:t>Teknik pengumpulan data yang digunakan meliputi wawancara mendalam,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observasi partisipatif, dan studi dokumentasi yang mengacu pada triangulasi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metode (Dewi et al., 2024). Keberadaan triangulasi memungkinkan peneliti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mengonfirmasi keabsahan data lintas sumber untuk menghindari bias interpretasi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(Shofawati, 2018). Data dokumenter yang dikaji mencakup laporan CSR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perusahaan, regulasi pemerintah, serta catatan pelaksanaan program yang relevan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 xml:space="preserve">dengan prinsip </w:t>
      </w:r>
      <w:r w:rsidR="003A1FB2" w:rsidRPr="003A1FB2">
        <w:rPr>
          <w:rFonts w:ascii="Cambria" w:hAnsi="Cambria"/>
          <w:i/>
          <w:iCs/>
          <w:sz w:val="24"/>
          <w:szCs w:val="24"/>
        </w:rPr>
        <w:t>Triple Bottom Line</w:t>
      </w:r>
      <w:r w:rsidRPr="00D15862">
        <w:rPr>
          <w:rFonts w:ascii="Cambria" w:hAnsi="Cambria"/>
          <w:sz w:val="24"/>
          <w:szCs w:val="24"/>
        </w:rPr>
        <w:t>. Penerapan teknik wawancara mendalam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bertujuan menggali pengalaman subjektif informan terkait proses, tantangan, dan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 xml:space="preserve">dampak CSR (Rustinsyah, 2016). Observasi dilakukan secara partisipatif di </w:t>
      </w:r>
      <w:r>
        <w:rPr>
          <w:rFonts w:ascii="Cambria" w:hAnsi="Cambria"/>
          <w:sz w:val="24"/>
          <w:szCs w:val="24"/>
        </w:rPr>
        <w:t xml:space="preserve">Lokasi </w:t>
      </w:r>
      <w:r w:rsidRPr="00D15862">
        <w:rPr>
          <w:rFonts w:ascii="Cambria" w:hAnsi="Cambria"/>
          <w:sz w:val="24"/>
          <w:szCs w:val="24"/>
        </w:rPr>
        <w:t>pelaksanaan program CSR agar peneliti dapat menangkap konteks sosial dan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budaya yang menyertai kegiatan tersebut (Dewi et al., 2024). Studi dokumentasi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digunakan untuk mengecek konsistensi antara praktik lapangan dengan dokumen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resmi perusahaan dan peraturan eksternal yang berlaku.</w:t>
      </w:r>
    </w:p>
    <w:p w14:paraId="55590521" w14:textId="5AC99DAD" w:rsidR="000B6A2D" w:rsidRPr="000B6A2D" w:rsidRDefault="00D15862" w:rsidP="00D15862">
      <w:pPr>
        <w:spacing w:line="360" w:lineRule="auto"/>
        <w:ind w:firstLine="720"/>
        <w:jc w:val="both"/>
        <w:rPr>
          <w:rFonts w:ascii="Cambria" w:hAnsi="Cambria"/>
          <w:sz w:val="24"/>
          <w:szCs w:val="24"/>
        </w:rPr>
      </w:pPr>
      <w:r w:rsidRPr="00D15862">
        <w:rPr>
          <w:rFonts w:ascii="Cambria" w:hAnsi="Cambria"/>
          <w:sz w:val="24"/>
          <w:szCs w:val="24"/>
        </w:rPr>
        <w:t>Teknik analisis data dalam penelitian ini menggunakan model interaktif Miles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dan Huberman yang mencakup reduksi data, penyajian data, dan penarikan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kesimpulan (Gunawan, 2021). Proses analisis dilakukan secara induktif untuk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membangun kategori tematik berdasarkan pola yang muncul dari hasil wawancara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dan observasi (Radyati &amp; Tjahjono, 2021). Reduksi data dilakukan sejak awal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 xml:space="preserve">pengumpulan data dengan menandai informasi yang relevan sesuai </w:t>
      </w:r>
      <w:r>
        <w:rPr>
          <w:rFonts w:ascii="Cambria" w:hAnsi="Cambria"/>
          <w:sz w:val="24"/>
          <w:szCs w:val="24"/>
        </w:rPr>
        <w:t xml:space="preserve">focus </w:t>
      </w:r>
      <w:r w:rsidRPr="00D15862">
        <w:rPr>
          <w:rFonts w:ascii="Cambria" w:hAnsi="Cambria"/>
          <w:sz w:val="24"/>
          <w:szCs w:val="24"/>
        </w:rPr>
        <w:t>penelitian. Penyajian data dalam bentuk matriks tematik membantu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mengidentifikasi keterkaitan antara aspek ekonomi, sosial, dan lingkungan dari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pelaksanaan CSR. Teknik ini juga mendukung validitas konstruk karena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memungkinkan peneliti membedakan variasi pengalaman di antara subjek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penelitian. Kombinasi strategi ini membuat metode penelitian kualitatif deskriptif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dalam artikel ini dapat dipercaya, akurat, dan layak digunakan untuk merumuskan</w:t>
      </w:r>
      <w:r>
        <w:rPr>
          <w:rFonts w:ascii="Cambria" w:hAnsi="Cambria"/>
          <w:sz w:val="24"/>
          <w:szCs w:val="24"/>
        </w:rPr>
        <w:t xml:space="preserve"> </w:t>
      </w:r>
      <w:r w:rsidRPr="00D15862">
        <w:rPr>
          <w:rFonts w:ascii="Cambria" w:hAnsi="Cambria"/>
          <w:sz w:val="24"/>
          <w:szCs w:val="24"/>
        </w:rPr>
        <w:t>implikasi kebijakan dan rekomendasi perbaikan pelaksanaan CSR di lapangan</w:t>
      </w:r>
      <w:r w:rsidR="000B6A2D" w:rsidRPr="000B6A2D">
        <w:rPr>
          <w:rFonts w:ascii="Cambria" w:hAnsi="Cambria"/>
          <w:sz w:val="24"/>
          <w:szCs w:val="24"/>
        </w:rPr>
        <w:t>.</w:t>
      </w:r>
    </w:p>
    <w:p w14:paraId="3161C5E9" w14:textId="4B3F54FF" w:rsidR="00AC62FD" w:rsidRPr="00E27F6C" w:rsidRDefault="0084117F" w:rsidP="00E27F6C">
      <w:pPr>
        <w:spacing w:after="0" w:line="360" w:lineRule="auto"/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 xml:space="preserve">HASIL DAN PEMBAHASAN </w:t>
      </w:r>
    </w:p>
    <w:p w14:paraId="0D8BF43A" w14:textId="6599486A" w:rsidR="0081147B" w:rsidRDefault="00D15862" w:rsidP="00D15862">
      <w:pPr>
        <w:spacing w:after="0" w:line="360" w:lineRule="auto"/>
        <w:ind w:right="-44" w:firstLine="720"/>
        <w:jc w:val="both"/>
        <w:rPr>
          <w:rFonts w:ascii="Cambria" w:hAnsi="Cambria" w:cs="Arial"/>
          <w:color w:val="000000"/>
          <w:sz w:val="24"/>
          <w:szCs w:val="24"/>
        </w:rPr>
      </w:pPr>
      <w:r w:rsidRPr="00D15862">
        <w:rPr>
          <w:rFonts w:ascii="Cambria" w:hAnsi="Cambria" w:cs="Arial"/>
          <w:color w:val="000000"/>
          <w:sz w:val="24"/>
          <w:szCs w:val="24"/>
        </w:rPr>
        <w:t xml:space="preserve">Program </w:t>
      </w:r>
      <w:r w:rsidR="003A1FB2" w:rsidRPr="003A1FB2">
        <w:rPr>
          <w:rFonts w:ascii="Cambria" w:hAnsi="Cambria" w:cs="Arial"/>
          <w:i/>
          <w:iCs/>
          <w:color w:val="000000"/>
          <w:sz w:val="24"/>
          <w:szCs w:val="24"/>
        </w:rPr>
        <w:t>Corporate Social Responsibility</w:t>
      </w:r>
      <w:r w:rsidRPr="00D15862">
        <w:rPr>
          <w:rFonts w:ascii="Cambria" w:hAnsi="Cambria" w:cs="Arial"/>
          <w:color w:val="000000"/>
          <w:sz w:val="24"/>
          <w:szCs w:val="24"/>
        </w:rPr>
        <w:t xml:space="preserve"> (CSR) yang dijalankan oleh PT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Pertamina Patra Niaga DPPU Supadio menunjukkan bahwa pendekatan tanggung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jawab sosial perusahaan bukan semata-mata pengeluaran filantropi, melainkan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strategi investasi sosial yang menghasilkan nilai bersama (shared value). Hal ini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terlihat dari jumlah dana CSR pada Gambar 1 yang dikeluarkan dari tahun 2017–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2021 yang mayoritas mengalami kenaikan. Hanya saja pada tahun 2021, dana CSR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yang dikeluarkan menurun dikarenakan pandemi Covid-19. Kenaikan anggaran ini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diiringi dengan efektivitas serapan anggaran mendekati 100% setiap tahunnya,</w:t>
      </w:r>
      <w:r w:rsidRPr="00D15862"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menandakan efisiensi dan keberlanjutan program yang baik. Strategi ini juga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menunjukkan bahwa perusahaan tidak hanya fokus pada keuntungan jangka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pendek, tetapi juga membangun relasi sosial dan ekonomi yang berkelanjutan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 xml:space="preserve">dengan masyarakat sekitar. Temuan ini selaras dengan konsep </w:t>
      </w:r>
      <w:r w:rsidRPr="00274B84">
        <w:rPr>
          <w:rFonts w:ascii="Cambria" w:hAnsi="Cambria" w:cs="Arial"/>
          <w:i/>
          <w:iCs/>
          <w:color w:val="000000"/>
          <w:sz w:val="24"/>
          <w:szCs w:val="24"/>
        </w:rPr>
        <w:t>shared value</w:t>
      </w:r>
      <w:r w:rsidRPr="00D15862">
        <w:rPr>
          <w:rFonts w:ascii="Cambria" w:hAnsi="Cambria" w:cs="Arial"/>
          <w:color w:val="000000"/>
          <w:sz w:val="24"/>
          <w:szCs w:val="24"/>
        </w:rPr>
        <w:t xml:space="preserve"> dari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Porter dan Kramer (2011), yang menyatakan bahwa perusahaan dapat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menciptakan nilai ekonomi dengan secara bersamaan menciptakan nilai sosial.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Dengan demikian, program CSR di unit ini tidak hanya mempertahankan citra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perusahaan, tetapi juga memperkuat basis ekonomi lokal sebagai mitra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pertumbuhan jangka panjang</w:t>
      </w:r>
      <w:r w:rsidR="00C222FC" w:rsidRPr="00C222FC">
        <w:rPr>
          <w:rFonts w:ascii="Cambria" w:hAnsi="Cambria" w:cs="Arial"/>
          <w:color w:val="000000"/>
          <w:sz w:val="24"/>
          <w:szCs w:val="24"/>
        </w:rPr>
        <w:t>.</w:t>
      </w:r>
    </w:p>
    <w:p w14:paraId="6D91016E" w14:textId="77777777" w:rsidR="00D15862" w:rsidRDefault="00D15862" w:rsidP="00D15862">
      <w:pPr>
        <w:keepNext/>
        <w:spacing w:after="0" w:line="360" w:lineRule="auto"/>
        <w:ind w:right="-44"/>
        <w:jc w:val="center"/>
      </w:pPr>
      <w:r w:rsidRPr="00D15862">
        <w:rPr>
          <w:rFonts w:ascii="Cambria" w:hAnsi="Cambria" w:cs="Arial"/>
          <w:noProof/>
          <w:color w:val="000000"/>
          <w:sz w:val="24"/>
          <w:szCs w:val="24"/>
        </w:rPr>
        <w:drawing>
          <wp:inline distT="0" distB="0" distL="0" distR="0" wp14:anchorId="33818F49" wp14:editId="5158D831">
            <wp:extent cx="4751914" cy="2571750"/>
            <wp:effectExtent l="0" t="0" r="0" b="0"/>
            <wp:docPr id="977702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028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6377" cy="258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C6B4" w14:textId="4B0354AB" w:rsidR="00D15862" w:rsidRPr="00D15862" w:rsidRDefault="00D15862" w:rsidP="00D15862">
      <w:pPr>
        <w:pStyle w:val="Caption"/>
        <w:spacing w:after="0"/>
        <w:jc w:val="center"/>
        <w:rPr>
          <w:rFonts w:ascii="Cambria" w:hAnsi="Cambria" w:cs="Arial"/>
          <w:color w:val="000000"/>
          <w:sz w:val="28"/>
          <w:szCs w:val="28"/>
        </w:rPr>
      </w:pPr>
      <w:r w:rsidRPr="00D15862">
        <w:rPr>
          <w:rFonts w:ascii="Cambria" w:hAnsi="Cambria"/>
          <w:sz w:val="22"/>
          <w:szCs w:val="22"/>
        </w:rPr>
        <w:t xml:space="preserve">Gambar </w:t>
      </w:r>
      <w:r w:rsidRPr="00D15862">
        <w:rPr>
          <w:rFonts w:ascii="Cambria" w:hAnsi="Cambria"/>
          <w:sz w:val="22"/>
          <w:szCs w:val="22"/>
        </w:rPr>
        <w:fldChar w:fldCharType="begin"/>
      </w:r>
      <w:r w:rsidRPr="00D15862">
        <w:rPr>
          <w:rFonts w:ascii="Cambria" w:hAnsi="Cambria"/>
          <w:sz w:val="22"/>
          <w:szCs w:val="22"/>
        </w:rPr>
        <w:instrText xml:space="preserve"> SEQ Gambar \* ARABIC </w:instrText>
      </w:r>
      <w:r w:rsidRPr="00D15862">
        <w:rPr>
          <w:rFonts w:ascii="Cambria" w:hAnsi="Cambria"/>
          <w:sz w:val="22"/>
          <w:szCs w:val="22"/>
        </w:rPr>
        <w:fldChar w:fldCharType="separate"/>
      </w:r>
      <w:r w:rsidR="00A1447F">
        <w:rPr>
          <w:rFonts w:ascii="Cambria" w:hAnsi="Cambria"/>
          <w:noProof/>
          <w:sz w:val="22"/>
          <w:szCs w:val="22"/>
        </w:rPr>
        <w:t>1</w:t>
      </w:r>
      <w:r w:rsidRPr="00D15862">
        <w:rPr>
          <w:rFonts w:ascii="Cambria" w:hAnsi="Cambria"/>
          <w:sz w:val="22"/>
          <w:szCs w:val="22"/>
        </w:rPr>
        <w:fldChar w:fldCharType="end"/>
      </w:r>
      <w:r w:rsidRPr="00D15862">
        <w:rPr>
          <w:rFonts w:ascii="Cambria" w:hAnsi="Cambria"/>
          <w:sz w:val="22"/>
          <w:szCs w:val="22"/>
        </w:rPr>
        <w:t xml:space="preserve">. </w:t>
      </w:r>
      <w:r w:rsidRPr="00D15862">
        <w:rPr>
          <w:rFonts w:ascii="Cambria" w:hAnsi="Cambria"/>
          <w:b w:val="0"/>
          <w:bCs w:val="0"/>
          <w:sz w:val="22"/>
          <w:szCs w:val="22"/>
        </w:rPr>
        <w:t>Alokasi Dana CSR PT Pertamina Patra Niaga DPPU Supadio</w:t>
      </w:r>
    </w:p>
    <w:p w14:paraId="513888C4" w14:textId="4E1032A8" w:rsidR="00C222FC" w:rsidRPr="00C222FC" w:rsidRDefault="00C222FC" w:rsidP="00A7189A">
      <w:pPr>
        <w:spacing w:after="120" w:line="360" w:lineRule="auto"/>
        <w:ind w:right="-45"/>
        <w:jc w:val="center"/>
        <w:rPr>
          <w:rFonts w:ascii="Cambria" w:hAnsi="Cambria" w:cs="Arial"/>
          <w:i/>
          <w:iCs/>
          <w:color w:val="000000"/>
          <w:sz w:val="24"/>
          <w:szCs w:val="24"/>
        </w:rPr>
      </w:pP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Sumber: Data </w:t>
      </w:r>
      <w:r w:rsidR="00D15862">
        <w:rPr>
          <w:rFonts w:ascii="Cambria" w:eastAsia="Cambria" w:hAnsi="Cambria" w:cs="Cambria"/>
          <w:i/>
          <w:iCs/>
          <w:color w:val="000000"/>
          <w:sz w:val="20"/>
          <w:szCs w:val="20"/>
        </w:rPr>
        <w:t>peneliti</w:t>
      </w: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>, 202</w:t>
      </w:r>
      <w:r w:rsidR="00D15862">
        <w:rPr>
          <w:rFonts w:ascii="Cambria" w:eastAsia="Cambria" w:hAnsi="Cambria" w:cs="Cambria"/>
          <w:i/>
          <w:iCs/>
          <w:color w:val="000000"/>
          <w:sz w:val="20"/>
          <w:szCs w:val="20"/>
        </w:rPr>
        <w:t>2</w:t>
      </w:r>
    </w:p>
    <w:p w14:paraId="6D9BA4A5" w14:textId="29609F9F" w:rsidR="00D15862" w:rsidRDefault="00D15862" w:rsidP="00D15862">
      <w:pPr>
        <w:spacing w:after="0" w:line="360" w:lineRule="auto"/>
        <w:ind w:right="-44" w:firstLine="720"/>
        <w:jc w:val="both"/>
        <w:rPr>
          <w:rFonts w:ascii="Cambria" w:hAnsi="Cambria" w:cs="Arial"/>
          <w:color w:val="000000"/>
          <w:sz w:val="24"/>
          <w:szCs w:val="24"/>
        </w:rPr>
      </w:pPr>
      <w:r w:rsidRPr="00D15862">
        <w:rPr>
          <w:rFonts w:ascii="Cambria" w:hAnsi="Cambria" w:cs="Arial"/>
          <w:color w:val="000000"/>
          <w:sz w:val="24"/>
          <w:szCs w:val="24"/>
        </w:rPr>
        <w:t>Melalui program unggulan “Berdaya Bersama Pertamina,” masyarakat lokal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difasilitasi untuk mengembangkan wirausaha berbasis rumah tangga, seperti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produksi masker kreatif, kerajinan tangan, dan usaha makanan ringan seperti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keripik pisang. Program ini tidak hanya memberikan pelatihan teknis dan bantuan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modal awal, tetapi juga mendorong terbentuknya kelompok usaha yang mampu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menjalankan siklus produksi dan pemasaran secara mandiri. Pendekatan ini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memperkuat daya tahan ekonomi keluarga di tengah ketidakpastian ekonomi pasca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pandemi. Di satu sisi, partisipasi aktif warga dalam program ini meningkatkan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kesejahteraan ekonomi, tetapi juga memperkuat identitas lokal dan keberlanjutan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lingkungan, sejalan dengan prinsip-prinsip pemberdayaan masyarakat yang lebih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inklusif (Pandiangan, 2022). Model pemberdayaan masyarakat ini juga berpotensi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untuk meningkatkan pengelolaan sumber daya lokal secara berkelanjutan, sesuai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 xml:space="preserve">dengan pendekatan </w:t>
      </w:r>
      <w:r w:rsidRPr="00274B84">
        <w:rPr>
          <w:rFonts w:ascii="Cambria" w:hAnsi="Cambria" w:cs="Arial"/>
          <w:i/>
          <w:iCs/>
          <w:color w:val="000000"/>
          <w:sz w:val="24"/>
          <w:szCs w:val="24"/>
        </w:rPr>
        <w:t>Asset-Based Community Development</w:t>
      </w:r>
      <w:r w:rsidRPr="00D15862">
        <w:rPr>
          <w:rFonts w:ascii="Cambria" w:hAnsi="Cambria" w:cs="Arial"/>
          <w:color w:val="000000"/>
          <w:sz w:val="24"/>
          <w:szCs w:val="24"/>
        </w:rPr>
        <w:t xml:space="preserve"> (ABCD) yang menekankan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D15862">
        <w:rPr>
          <w:rFonts w:ascii="Cambria" w:hAnsi="Cambria" w:cs="Arial"/>
          <w:color w:val="000000"/>
          <w:sz w:val="24"/>
          <w:szCs w:val="24"/>
        </w:rPr>
        <w:t>pemanfaatan aset komunitas (Shiddiqy, 2024)</w:t>
      </w:r>
      <w:r>
        <w:rPr>
          <w:rFonts w:ascii="Cambria" w:hAnsi="Cambria" w:cs="Arial"/>
          <w:color w:val="000000"/>
          <w:sz w:val="24"/>
          <w:szCs w:val="24"/>
        </w:rPr>
        <w:t>.</w:t>
      </w:r>
    </w:p>
    <w:p w14:paraId="5EA02333" w14:textId="77777777" w:rsidR="00D15862" w:rsidRDefault="00D15862" w:rsidP="00D15862">
      <w:pPr>
        <w:keepNext/>
        <w:spacing w:after="0" w:line="360" w:lineRule="auto"/>
        <w:ind w:right="-44"/>
        <w:jc w:val="center"/>
      </w:pPr>
      <w:r w:rsidRPr="00D15862">
        <w:rPr>
          <w:rFonts w:ascii="Cambria" w:hAnsi="Cambria" w:cs="Arial"/>
          <w:noProof/>
          <w:color w:val="000000"/>
          <w:sz w:val="24"/>
          <w:szCs w:val="24"/>
        </w:rPr>
        <w:drawing>
          <wp:inline distT="0" distB="0" distL="0" distR="0" wp14:anchorId="22AEFA31" wp14:editId="06BC991A">
            <wp:extent cx="5075415" cy="1790700"/>
            <wp:effectExtent l="0" t="0" r="0" b="0"/>
            <wp:docPr id="181901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127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124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CF8E" w14:textId="20C462FE" w:rsidR="00D15862" w:rsidRDefault="00D15862" w:rsidP="00880531">
      <w:pPr>
        <w:pStyle w:val="Caption"/>
        <w:spacing w:after="0"/>
        <w:jc w:val="center"/>
        <w:rPr>
          <w:rFonts w:ascii="Cambria" w:hAnsi="Cambria"/>
          <w:b w:val="0"/>
          <w:bCs w:val="0"/>
          <w:sz w:val="22"/>
          <w:szCs w:val="22"/>
        </w:rPr>
      </w:pPr>
      <w:r w:rsidRPr="00D15862">
        <w:rPr>
          <w:rFonts w:ascii="Cambria" w:hAnsi="Cambria"/>
          <w:sz w:val="22"/>
          <w:szCs w:val="22"/>
        </w:rPr>
        <w:t xml:space="preserve">Gambar </w:t>
      </w:r>
      <w:r w:rsidRPr="00D15862">
        <w:rPr>
          <w:rFonts w:ascii="Cambria" w:hAnsi="Cambria"/>
          <w:sz w:val="22"/>
          <w:szCs w:val="22"/>
        </w:rPr>
        <w:fldChar w:fldCharType="begin"/>
      </w:r>
      <w:r w:rsidRPr="00D15862">
        <w:rPr>
          <w:rFonts w:ascii="Cambria" w:hAnsi="Cambria"/>
          <w:sz w:val="22"/>
          <w:szCs w:val="22"/>
        </w:rPr>
        <w:instrText xml:space="preserve"> SEQ Gambar \* ARABIC </w:instrText>
      </w:r>
      <w:r w:rsidRPr="00D15862">
        <w:rPr>
          <w:rFonts w:ascii="Cambria" w:hAnsi="Cambria"/>
          <w:sz w:val="22"/>
          <w:szCs w:val="22"/>
        </w:rPr>
        <w:fldChar w:fldCharType="separate"/>
      </w:r>
      <w:r w:rsidR="00A1447F">
        <w:rPr>
          <w:rFonts w:ascii="Cambria" w:hAnsi="Cambria"/>
          <w:noProof/>
          <w:sz w:val="22"/>
          <w:szCs w:val="22"/>
        </w:rPr>
        <w:t>2</w:t>
      </w:r>
      <w:r w:rsidRPr="00D15862">
        <w:rPr>
          <w:rFonts w:ascii="Cambria" w:hAnsi="Cambria"/>
          <w:sz w:val="22"/>
          <w:szCs w:val="22"/>
        </w:rPr>
        <w:fldChar w:fldCharType="end"/>
      </w:r>
      <w:r w:rsidRPr="00D15862">
        <w:rPr>
          <w:rFonts w:ascii="Cambria" w:hAnsi="Cambria"/>
          <w:sz w:val="22"/>
          <w:szCs w:val="22"/>
        </w:rPr>
        <w:t xml:space="preserve">.  </w:t>
      </w:r>
      <w:r w:rsidRPr="00D15862">
        <w:rPr>
          <w:rFonts w:ascii="Cambria" w:hAnsi="Cambria"/>
          <w:b w:val="0"/>
          <w:bCs w:val="0"/>
          <w:sz w:val="22"/>
          <w:szCs w:val="22"/>
        </w:rPr>
        <w:t xml:space="preserve">Pertemuan dan Diskusi dengan Anggota </w:t>
      </w:r>
      <w:r>
        <w:rPr>
          <w:rFonts w:ascii="Cambria" w:hAnsi="Cambria"/>
          <w:b w:val="0"/>
          <w:bCs w:val="0"/>
          <w:sz w:val="22"/>
          <w:szCs w:val="22"/>
        </w:rPr>
        <w:t>“</w:t>
      </w:r>
      <w:r w:rsidRPr="00D15862">
        <w:rPr>
          <w:rFonts w:ascii="Cambria" w:hAnsi="Cambria"/>
          <w:b w:val="0"/>
          <w:bCs w:val="0"/>
          <w:sz w:val="22"/>
          <w:szCs w:val="22"/>
        </w:rPr>
        <w:t>Berdaya Bersama Pertamina”</w:t>
      </w:r>
    </w:p>
    <w:p w14:paraId="74A0C6A0" w14:textId="342CEA91" w:rsidR="00880531" w:rsidRPr="00880531" w:rsidRDefault="00880531" w:rsidP="00A7189A">
      <w:pPr>
        <w:spacing w:after="120"/>
        <w:jc w:val="center"/>
      </w:pP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Sumber: 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Dokumentasi</w:t>
      </w: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peneliti</w:t>
      </w: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>, 202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2</w:t>
      </w:r>
    </w:p>
    <w:p w14:paraId="098BFA5B" w14:textId="4742CA0A" w:rsidR="00C222FC" w:rsidRDefault="00880531" w:rsidP="00A7189A">
      <w:pPr>
        <w:spacing w:after="120" w:line="360" w:lineRule="auto"/>
        <w:ind w:right="-45" w:firstLine="720"/>
        <w:jc w:val="both"/>
        <w:rPr>
          <w:rFonts w:ascii="Cambria" w:hAnsi="Cambria" w:cs="Arial"/>
          <w:color w:val="000000"/>
          <w:sz w:val="24"/>
          <w:szCs w:val="24"/>
        </w:rPr>
      </w:pPr>
      <w:r w:rsidRPr="00880531">
        <w:rPr>
          <w:rFonts w:ascii="Cambria" w:hAnsi="Cambria" w:cs="Arial"/>
          <w:color w:val="000000"/>
          <w:sz w:val="24"/>
          <w:szCs w:val="24"/>
        </w:rPr>
        <w:t>Program Bank Sampah Limbung Mandiri di bawah naungan CSR Pertamina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DPPU Supadio membuktikan bahwa pengelolaan lingkungan dapat menjadi sumber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pendapatan yang berkelanjutan. Meskipun pendapatan per bulan berkisar antara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Rp1 juta hingga Rp2 juta dan mengalami fluktuasi, program ini tetap memberi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insentif ekonomi bagi masyarakat sekaligus mengurangi volume sampah domestik.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Inisiatif ini melibatkan warga dalam pengumpulan, pemilahan, dan daur ulang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sampah rumah tangga dengan sistem poin yang dapat ditukar menjadi barang atau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uang tunai. Dalam jangka panjang, program ini mendorong perubahan perilaku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terhadap pengelolaan sampah dan menciptakan ekosistem ekonomi sirkular lokal.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Hal ini memperlihatkan keterkaitan nyata antara dimensi profit dan planet dalam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 xml:space="preserve">kerangka </w:t>
      </w:r>
      <w:r w:rsidR="003A1FB2" w:rsidRPr="003A1FB2">
        <w:rPr>
          <w:rFonts w:ascii="Cambria" w:hAnsi="Cambria" w:cs="Arial"/>
          <w:i/>
          <w:iCs/>
          <w:color w:val="000000"/>
          <w:sz w:val="24"/>
          <w:szCs w:val="24"/>
        </w:rPr>
        <w:t>Triple Bottom Line</w:t>
      </w:r>
      <w:r w:rsidRPr="00880531">
        <w:rPr>
          <w:rFonts w:ascii="Cambria" w:hAnsi="Cambria" w:cs="Arial"/>
          <w:color w:val="000000"/>
          <w:sz w:val="24"/>
          <w:szCs w:val="24"/>
        </w:rPr>
        <w:t xml:space="preserve"> (Lourenço &amp; Júnior, 2021), di mana keberlanjutan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lingkungan tidak mengorbankan aspek ekonomi, tetapi justru menjadi katalis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pertumbuhan lokal berbasis sumber daya yang tersedia.</w:t>
      </w:r>
    </w:p>
    <w:p w14:paraId="695555CD" w14:textId="77777777" w:rsidR="00880531" w:rsidRDefault="00880531" w:rsidP="00880531">
      <w:pPr>
        <w:keepNext/>
        <w:spacing w:after="0" w:line="360" w:lineRule="auto"/>
        <w:ind w:right="-44"/>
        <w:jc w:val="center"/>
      </w:pPr>
      <w:r w:rsidRPr="00880531">
        <w:rPr>
          <w:rFonts w:ascii="Cambria" w:hAnsi="Cambria" w:cs="Arial"/>
          <w:noProof/>
          <w:color w:val="000000"/>
          <w:sz w:val="24"/>
          <w:szCs w:val="24"/>
        </w:rPr>
        <w:drawing>
          <wp:inline distT="0" distB="0" distL="0" distR="0" wp14:anchorId="0373FC1F" wp14:editId="4C53E6F0">
            <wp:extent cx="4949895" cy="1781175"/>
            <wp:effectExtent l="0" t="0" r="3175" b="0"/>
            <wp:docPr id="1108881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818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8659" cy="179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6699" w14:textId="09839A20" w:rsidR="00880531" w:rsidRDefault="00880531" w:rsidP="00880531">
      <w:pPr>
        <w:pStyle w:val="Caption"/>
        <w:spacing w:after="0"/>
        <w:jc w:val="center"/>
        <w:rPr>
          <w:rFonts w:ascii="Cambria" w:hAnsi="Cambria"/>
          <w:b w:val="0"/>
          <w:bCs w:val="0"/>
          <w:sz w:val="22"/>
          <w:szCs w:val="22"/>
        </w:rPr>
      </w:pPr>
      <w:r w:rsidRPr="00880531">
        <w:rPr>
          <w:rFonts w:ascii="Cambria" w:hAnsi="Cambria"/>
          <w:sz w:val="22"/>
          <w:szCs w:val="22"/>
        </w:rPr>
        <w:t xml:space="preserve">Gambar </w:t>
      </w:r>
      <w:r w:rsidRPr="00880531">
        <w:rPr>
          <w:rFonts w:ascii="Cambria" w:hAnsi="Cambria"/>
          <w:sz w:val="22"/>
          <w:szCs w:val="22"/>
        </w:rPr>
        <w:fldChar w:fldCharType="begin"/>
      </w:r>
      <w:r w:rsidRPr="00880531">
        <w:rPr>
          <w:rFonts w:ascii="Cambria" w:hAnsi="Cambria"/>
          <w:sz w:val="22"/>
          <w:szCs w:val="22"/>
        </w:rPr>
        <w:instrText xml:space="preserve"> SEQ Gambar \* ARABIC </w:instrText>
      </w:r>
      <w:r w:rsidRPr="00880531">
        <w:rPr>
          <w:rFonts w:ascii="Cambria" w:hAnsi="Cambria"/>
          <w:sz w:val="22"/>
          <w:szCs w:val="22"/>
        </w:rPr>
        <w:fldChar w:fldCharType="separate"/>
      </w:r>
      <w:r w:rsidR="00A1447F">
        <w:rPr>
          <w:rFonts w:ascii="Cambria" w:hAnsi="Cambria"/>
          <w:noProof/>
          <w:sz w:val="22"/>
          <w:szCs w:val="22"/>
        </w:rPr>
        <w:t>3</w:t>
      </w:r>
      <w:r w:rsidRPr="00880531">
        <w:rPr>
          <w:rFonts w:ascii="Cambria" w:hAnsi="Cambria"/>
          <w:sz w:val="22"/>
          <w:szCs w:val="22"/>
        </w:rPr>
        <w:fldChar w:fldCharType="end"/>
      </w:r>
      <w:r w:rsidRPr="00880531">
        <w:rPr>
          <w:rFonts w:ascii="Cambria" w:hAnsi="Cambria"/>
          <w:sz w:val="22"/>
          <w:szCs w:val="22"/>
        </w:rPr>
        <w:t xml:space="preserve">. </w:t>
      </w:r>
      <w:r w:rsidRPr="00880531">
        <w:rPr>
          <w:rFonts w:ascii="Cambria" w:hAnsi="Cambria"/>
          <w:b w:val="0"/>
          <w:bCs w:val="0"/>
          <w:sz w:val="22"/>
          <w:szCs w:val="22"/>
        </w:rPr>
        <w:t>Observasi dan Wawancara di Bank Sampah Limbung Mandiri</w:t>
      </w:r>
    </w:p>
    <w:p w14:paraId="263CA514" w14:textId="7F95C561" w:rsidR="00880531" w:rsidRPr="00880531" w:rsidRDefault="00880531" w:rsidP="00880531">
      <w:pPr>
        <w:jc w:val="center"/>
      </w:pP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Sumber: 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Dokumentasi</w:t>
      </w: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peneliti</w:t>
      </w: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>, 202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2</w:t>
      </w:r>
    </w:p>
    <w:p w14:paraId="725F7B60" w14:textId="752B559A" w:rsidR="0081147B" w:rsidRDefault="00880531" w:rsidP="00A7189A">
      <w:pPr>
        <w:spacing w:after="120" w:line="360" w:lineRule="auto"/>
        <w:ind w:right="-45" w:firstLine="720"/>
        <w:jc w:val="both"/>
        <w:rPr>
          <w:rFonts w:ascii="Cambria" w:hAnsi="Cambria" w:cs="Arial"/>
          <w:color w:val="000000"/>
          <w:sz w:val="24"/>
          <w:szCs w:val="24"/>
        </w:rPr>
      </w:pPr>
      <w:r w:rsidRPr="00880531">
        <w:rPr>
          <w:rFonts w:ascii="Cambria" w:hAnsi="Cambria" w:cs="Arial"/>
          <w:color w:val="000000"/>
          <w:sz w:val="24"/>
          <w:szCs w:val="24"/>
        </w:rPr>
        <w:t>Sektor pendidikan juga menjadi fokus CSR, terutama melalui Program Taman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Emas yang menargetkan anak-anak usia sekolah di sekitar area operasional.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Program ini mengintegrasikan pelatihan literasi digital seperti pembuatan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presentasi, penyusunan CV digital, hingga desain grafis sederhana menggunakan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aplikasi seperti Canva dan PowerPoint. Hasilnya menunjukkan peningkatan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signifikan dalam keterampilan abad ke-21, terutama pada kelompok usia 10–15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tahun. Selain itu, pelibatan guru dan relawan lokal memperkuat relevansi materi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pelatihan dengan kebutuhan aktual anak-anak. Dengan mengembangkan soft skills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dan hard skills sejak dini, program ini tidak hanya mengisi kekosongan akses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pendidikan digital, tetapi juga menciptakan peluang masa depan bagi generasi muda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 xml:space="preserve">di daerah pinggiran ((Nataliia, 2023). Upaya ini mendukung prinsip inklusi </w:t>
      </w:r>
      <w:r>
        <w:rPr>
          <w:rFonts w:ascii="Cambria" w:hAnsi="Cambria" w:cs="Arial"/>
          <w:color w:val="000000"/>
          <w:sz w:val="24"/>
          <w:szCs w:val="24"/>
        </w:rPr>
        <w:t xml:space="preserve">social </w:t>
      </w:r>
      <w:r w:rsidRPr="00880531">
        <w:rPr>
          <w:rFonts w:ascii="Cambria" w:hAnsi="Cambria" w:cs="Arial"/>
          <w:color w:val="000000"/>
          <w:sz w:val="24"/>
          <w:szCs w:val="24"/>
        </w:rPr>
        <w:t>dan keadilan akses dalam pendidikan yang menjadi bagian penting dari tanggung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jawab sosial perusahaan. Dalam konteks pembangunan berkelanjutan, pendekatan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ini memperkuat peran CSR dalam membentuk kualitas sumber daya manusia di</w:t>
      </w:r>
      <w:r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880531">
        <w:rPr>
          <w:rFonts w:ascii="Cambria" w:hAnsi="Cambria" w:cs="Arial"/>
          <w:color w:val="000000"/>
          <w:sz w:val="24"/>
          <w:szCs w:val="24"/>
        </w:rPr>
        <w:t>masa mendatang (Scavarda et al., 2023).</w:t>
      </w:r>
    </w:p>
    <w:p w14:paraId="19976C1D" w14:textId="77777777" w:rsidR="00880531" w:rsidRDefault="00880531" w:rsidP="00880531">
      <w:pPr>
        <w:keepNext/>
        <w:spacing w:after="0" w:line="360" w:lineRule="auto"/>
        <w:ind w:right="-44"/>
        <w:jc w:val="center"/>
      </w:pPr>
      <w:r w:rsidRPr="00880531">
        <w:rPr>
          <w:rFonts w:ascii="Cambria" w:hAnsi="Cambria" w:cs="Arial"/>
          <w:noProof/>
          <w:color w:val="000000"/>
          <w:sz w:val="24"/>
          <w:szCs w:val="24"/>
        </w:rPr>
        <w:drawing>
          <wp:inline distT="0" distB="0" distL="0" distR="0" wp14:anchorId="03B63F6B" wp14:editId="59262FE6">
            <wp:extent cx="4787447" cy="1733385"/>
            <wp:effectExtent l="0" t="0" r="0" b="635"/>
            <wp:docPr id="599771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713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8058" cy="174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C2BE" w14:textId="26514451" w:rsidR="00880531" w:rsidRDefault="00880531" w:rsidP="00880531">
      <w:pPr>
        <w:pStyle w:val="Caption"/>
        <w:spacing w:after="0"/>
        <w:jc w:val="center"/>
        <w:rPr>
          <w:rFonts w:ascii="Cambria" w:hAnsi="Cambria"/>
          <w:b w:val="0"/>
          <w:bCs w:val="0"/>
          <w:sz w:val="22"/>
          <w:szCs w:val="22"/>
        </w:rPr>
      </w:pPr>
      <w:r w:rsidRPr="00880531">
        <w:rPr>
          <w:rFonts w:ascii="Cambria" w:hAnsi="Cambria"/>
          <w:sz w:val="22"/>
          <w:szCs w:val="22"/>
        </w:rPr>
        <w:t xml:space="preserve">Gambar </w:t>
      </w:r>
      <w:r w:rsidRPr="00880531">
        <w:rPr>
          <w:rFonts w:ascii="Cambria" w:hAnsi="Cambria"/>
          <w:sz w:val="22"/>
          <w:szCs w:val="22"/>
        </w:rPr>
        <w:fldChar w:fldCharType="begin"/>
      </w:r>
      <w:r w:rsidRPr="00880531">
        <w:rPr>
          <w:rFonts w:ascii="Cambria" w:hAnsi="Cambria"/>
          <w:sz w:val="22"/>
          <w:szCs w:val="22"/>
        </w:rPr>
        <w:instrText xml:space="preserve"> SEQ Gambar \* ARABIC </w:instrText>
      </w:r>
      <w:r w:rsidRPr="00880531">
        <w:rPr>
          <w:rFonts w:ascii="Cambria" w:hAnsi="Cambria"/>
          <w:sz w:val="22"/>
          <w:szCs w:val="22"/>
        </w:rPr>
        <w:fldChar w:fldCharType="separate"/>
      </w:r>
      <w:r w:rsidR="00A1447F">
        <w:rPr>
          <w:rFonts w:ascii="Cambria" w:hAnsi="Cambria"/>
          <w:noProof/>
          <w:sz w:val="22"/>
          <w:szCs w:val="22"/>
        </w:rPr>
        <w:t>4</w:t>
      </w:r>
      <w:r w:rsidRPr="00880531">
        <w:rPr>
          <w:rFonts w:ascii="Cambria" w:hAnsi="Cambria"/>
          <w:sz w:val="22"/>
          <w:szCs w:val="22"/>
        </w:rPr>
        <w:fldChar w:fldCharType="end"/>
      </w:r>
      <w:r w:rsidRPr="00880531">
        <w:rPr>
          <w:rFonts w:ascii="Cambria" w:hAnsi="Cambria"/>
          <w:sz w:val="22"/>
          <w:szCs w:val="22"/>
        </w:rPr>
        <w:t xml:space="preserve">. </w:t>
      </w:r>
      <w:r w:rsidRPr="00880531">
        <w:rPr>
          <w:rFonts w:ascii="Cambria" w:hAnsi="Cambria"/>
          <w:b w:val="0"/>
          <w:bCs w:val="0"/>
          <w:sz w:val="22"/>
          <w:szCs w:val="22"/>
        </w:rPr>
        <w:t>Observasi Kegiatan di Taman Emas Pertamina</w:t>
      </w:r>
    </w:p>
    <w:p w14:paraId="40C151F3" w14:textId="77777777" w:rsidR="00880531" w:rsidRPr="00880531" w:rsidRDefault="00880531" w:rsidP="00A7189A">
      <w:pPr>
        <w:spacing w:after="120"/>
        <w:jc w:val="center"/>
      </w:pP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Sumber: 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Dokumentasi</w:t>
      </w: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peneliti</w:t>
      </w:r>
      <w:r w:rsidRPr="00C222FC">
        <w:rPr>
          <w:rFonts w:ascii="Cambria" w:eastAsia="Cambria" w:hAnsi="Cambria" w:cs="Cambria"/>
          <w:i/>
          <w:iCs/>
          <w:color w:val="000000"/>
          <w:sz w:val="20"/>
          <w:szCs w:val="20"/>
        </w:rPr>
        <w:t>, 202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2</w:t>
      </w:r>
    </w:p>
    <w:p w14:paraId="4A5A683C" w14:textId="0B8506F5" w:rsidR="00880531" w:rsidRPr="00880531" w:rsidRDefault="00880531" w:rsidP="00880531">
      <w:pPr>
        <w:spacing w:after="0" w:line="360" w:lineRule="auto"/>
        <w:ind w:firstLine="720"/>
        <w:jc w:val="both"/>
        <w:rPr>
          <w:rStyle w:val="Strong"/>
          <w:rFonts w:ascii="Cambria" w:hAnsi="Cambria"/>
          <w:b w:val="0"/>
          <w:bCs w:val="0"/>
          <w:sz w:val="24"/>
          <w:szCs w:val="24"/>
        </w:rPr>
      </w:pP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CSR juga berkontribusi dalam penguatan layanan kesehatan dasar melalui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program Posyandu Sehati-Ponsera. Program ini mengintegrasikan layanan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pemantauan status gizi, edukasi ibu dan anak, hingga inovasi seperti PMT </w:t>
      </w:r>
      <w:r w:rsidRPr="00274B84">
        <w:rPr>
          <w:rStyle w:val="Strong"/>
          <w:rFonts w:ascii="Cambria" w:hAnsi="Cambria"/>
          <w:b w:val="0"/>
          <w:bCs w:val="0"/>
          <w:i/>
          <w:iCs/>
          <w:sz w:val="24"/>
          <w:szCs w:val="24"/>
        </w:rPr>
        <w:t>delivery service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untuk balita kurang gizi. Selain itu, kader posyandu diberdayakan sebagai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pelaku ekonomi mikro melalui pelatihan dan bantuan usaha budidaya ayam petelur.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Inisiatif ini tidak hanya meningkatkan status gizi anak, tetapi juga menjadikan kader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sebagai agen perubahan sosial yang produktif. Program ini memperluas makna pilar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people dalam konsep </w:t>
      </w:r>
      <w:r w:rsidR="003A1FB2" w:rsidRPr="003A1FB2">
        <w:rPr>
          <w:rStyle w:val="Strong"/>
          <w:rFonts w:ascii="Cambria" w:hAnsi="Cambria"/>
          <w:b w:val="0"/>
          <w:bCs w:val="0"/>
          <w:i/>
          <w:iCs/>
          <w:sz w:val="24"/>
          <w:szCs w:val="24"/>
        </w:rPr>
        <w:t>Triple Bottom Line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dengan menunjukkan bahwa investasi pada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kesehatan komunitas dapat berdampak pada ekonomi secara langsung (Lane et al.,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2023). Secara tidak langsung, kegiatan ini mendorong kemandirian ekonomi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masyarakat khusunya perempuan di desa. Langkah ini selaras dengan 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Upaya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pembangunan yang holistik di mana kesehatan, pemberdayaan ekonomi, dan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pendidikan berjalan beriringan untuk meningkatkan kesejahteraan 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Masyarakat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secara menyeluruh (Suwandi et al., 2019).</w:t>
      </w:r>
    </w:p>
    <w:p w14:paraId="45FB5F04" w14:textId="645140BF" w:rsidR="0081147B" w:rsidRPr="0081147B" w:rsidRDefault="00880531" w:rsidP="00880531">
      <w:pPr>
        <w:spacing w:after="0" w:line="360" w:lineRule="auto"/>
        <w:ind w:firstLine="720"/>
        <w:jc w:val="both"/>
        <w:rPr>
          <w:rStyle w:val="Strong"/>
          <w:rFonts w:ascii="Cambria" w:hAnsi="Cambria"/>
          <w:b w:val="0"/>
          <w:bCs w:val="0"/>
          <w:sz w:val="24"/>
          <w:szCs w:val="24"/>
        </w:rPr>
      </w:pP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Menariknya, CSR di PT Pertamina Patra Niaga DPPU Supadio juga difokuskan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pada peningkatan kapasitas internal, terutama tenaga kerja organik dan tenaga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kerja jasa penunjang (TKJP). Melalui pelatihan teknis berkala seperti Sertifikasi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Teknik Terbang Kendali (STTK), para pekerja mendapatkan peningkatan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keterampilan yang signifikan, khususnya dalam aspek keselamatan dan efisiensi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operasional aviasi. Selain itu, pelatihan </w:t>
      </w:r>
      <w:r w:rsidRPr="00274B84">
        <w:rPr>
          <w:rStyle w:val="Strong"/>
          <w:rFonts w:ascii="Cambria" w:hAnsi="Cambria"/>
          <w:b w:val="0"/>
          <w:bCs w:val="0"/>
          <w:i/>
          <w:iCs/>
          <w:sz w:val="24"/>
          <w:szCs w:val="24"/>
        </w:rPr>
        <w:t>soft skill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dan manajemen mutu juga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diberikan sebagai upaya peningkatan kinerja secara menyeluruh. Langkah ini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mencerminkan pemahaman bahwa keberlanjutan tidak hanya berlaku untuk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masyarakat luar, tetapi juga penting diterapkan di dalam sistem kerja 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Perusahaan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(Bolis et al., 2013). Hal ini memperkuat peran CSR sebagai 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instrument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pengembangan sumber daya manusia yang menyeluruh, menciptakan nilai tambah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yang strategis bagi perusahaan dalam jangka panjang. Praktik ini menunjukkan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bahwa CSR yang efektif juga memperhitungkan dimensi internal untuk menjamin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keberlanjutan bisnis yang 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>Tangguh.</w:t>
      </w:r>
    </w:p>
    <w:p w14:paraId="46094C16" w14:textId="0CAE785C" w:rsidR="00880531" w:rsidRPr="00880531" w:rsidRDefault="00880531" w:rsidP="00880531">
      <w:pPr>
        <w:spacing w:after="0" w:line="360" w:lineRule="auto"/>
        <w:ind w:firstLine="720"/>
        <w:jc w:val="both"/>
        <w:rPr>
          <w:rStyle w:val="Strong"/>
          <w:rFonts w:ascii="Cambria" w:hAnsi="Cambria"/>
          <w:b w:val="0"/>
          <w:bCs w:val="0"/>
          <w:sz w:val="24"/>
          <w:szCs w:val="24"/>
        </w:rPr>
      </w:pP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Penelitian ini memperlihatkan konsistensi penerapan pendekatan </w:t>
      </w:r>
      <w:r w:rsidR="003A1FB2" w:rsidRPr="003A1FB2">
        <w:rPr>
          <w:rStyle w:val="Strong"/>
          <w:rFonts w:ascii="Cambria" w:hAnsi="Cambria"/>
          <w:b w:val="0"/>
          <w:bCs w:val="0"/>
          <w:i/>
          <w:iCs/>
          <w:sz w:val="24"/>
          <w:szCs w:val="24"/>
        </w:rPr>
        <w:t>Triple Bottom Line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(TBL) secara terintegrasi oleh PT Pertamina Patra Niaga DPPU Supadio.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Dalam dimensi profit, terlihat melalui penciptaan nilai ekonomi melalui kegiatan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wirausaha masyarakat dan bank sampah yang tidak hanya mendatangkan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keuntungan finansial tetapi juga mendorong sirkulasi ekonomi lokal. Dalam dimensi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people, program-program kesehatan, pendidikan, dan pengembangan kapasitas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menunjukkan komitmen pada peningkatan kualitas hidup masyarakat. Sedangkan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dalam dimensi planet, inisiatif pengelolaan sampah dan penghijauan mencerminkan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tanggung jawab lingkungan yang nyata. Implementasi ini mendukung 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argument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Lourenço &amp; Júnior (2021) bahwa keberlanjutan bisnis yang sesungguhnya hanya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dapat dicapai jika perusahaan secara konsisten menyeimbangkan ketiga dimensi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tersebut. Hal yang menarik dari studi ini adalah keberhasilan 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Perusahaan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mengintegrasikan TBL tidak hanya dalam strategi makro, tetapi juga dalam tataran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operasional lokal yang nyata dan berdampak langsung.</w:t>
      </w:r>
    </w:p>
    <w:p w14:paraId="4480E87D" w14:textId="581628E6" w:rsidR="0081147B" w:rsidRDefault="00880531" w:rsidP="00880531">
      <w:pPr>
        <w:spacing w:after="0" w:line="360" w:lineRule="auto"/>
        <w:ind w:firstLine="720"/>
        <w:jc w:val="both"/>
        <w:rPr>
          <w:rStyle w:val="Strong"/>
          <w:rFonts w:ascii="Cambria" w:hAnsi="Cambria"/>
          <w:b w:val="0"/>
          <w:bCs w:val="0"/>
          <w:sz w:val="24"/>
          <w:szCs w:val="24"/>
        </w:rPr>
      </w:pP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Penelitian ini juga menegaskan pentingnya pendekatan CSR berbasis lokal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(localized CSR) dalam konteks negara berkembang. Pendekatan ini menekankan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bahwa efektivitas program CSR sangat ditentukan oleh kesesuaian antara program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dan kebutuhan riil masyarakat, serta keberadaan ruang dialog sosial antara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perusahaan dan komunitas (Ibrahim et al., 2012). Dalam hal ini, temuan mendukung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pandangan Gunawan (2021) bahwa dialog sosial menjadi unsur penting dalam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membentuk legitimasi sosial perusahaan dan meningkatkan keberterimaan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program CSR. Pendekatan partisipatif juga menjamin keadilan distribusi manfaat,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sehingga CSR tidak terjebak dalam logika karitatif semata. Secara teoritis, penelitian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ini memperkaya kerangka kerja CSR dengan menambahkan elemen dinamika 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social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budaya sebagai variabel penting dalam perencanaan dan evaluasi program. Hal ini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membuka ruang untuk mengembangkan teori CSR yang lebih kontekstual dan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responsif terhadap dinamika masyarakat lokal, terutama di wilayah pinggiran yang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880531">
        <w:rPr>
          <w:rStyle w:val="Strong"/>
          <w:rFonts w:ascii="Cambria" w:hAnsi="Cambria"/>
          <w:b w:val="0"/>
          <w:bCs w:val="0"/>
          <w:sz w:val="24"/>
          <w:szCs w:val="24"/>
        </w:rPr>
        <w:t>selama ini kurang mendapat perhatian dalam literatur CSR global.</w:t>
      </w:r>
    </w:p>
    <w:p w14:paraId="16FD8403" w14:textId="0C3C0833" w:rsidR="003A1FB2" w:rsidRPr="003A1FB2" w:rsidRDefault="003A1FB2" w:rsidP="003A1FB2">
      <w:pPr>
        <w:spacing w:after="0" w:line="360" w:lineRule="auto"/>
        <w:ind w:firstLine="720"/>
        <w:jc w:val="both"/>
        <w:rPr>
          <w:rStyle w:val="Strong"/>
          <w:rFonts w:ascii="Cambria" w:hAnsi="Cambria"/>
          <w:b w:val="0"/>
          <w:bCs w:val="0"/>
          <w:sz w:val="24"/>
          <w:szCs w:val="24"/>
        </w:rPr>
      </w:pP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Temuan dalam penelitian ini memiliki koherensi yang kuat dengan berbagai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studi terdahulu yang menyoroti pentingnya keberlanjutan dan pelibatan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masyarakat dalam strategi CSR. Sebagai contoh, Suhartini et al. (2024)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menunjukkan bahwa pelaporan keberlanjutan yang baik berdampak positif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terhadap nilai perusahaan, yang selaras dengan praktik transparansi yang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ditunjukkan oleh unit DPPU Supadio dalam memvisualisasikan penggunaan dana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CSR. Selain itu, Hamdani et al. (2024) menemukan bahwa pelibatan 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Masyarakat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lokal secara langsung dalam perencanaan dan pelaksanaan program CSR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meningkatkan loyalitas terhadap perusahaan, temuan yang tercermin dari tingginya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indeks kepuasan masyarakat (IKM) dalam studi ini. Oleh karena itu, penelitian ini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tidak hanya memperkuat hasil-hasil sebelumnya, tetapi juga memberikan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pembuktian empiris baru pada konteks sektor energi dan unit aviasi yang jarang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menjadi fokus dalam studi CSR. Integrasi antara pendekatan berbasis bukti dan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praktik lapangan ini menjadi kontribusi penting terhadap perluasan basis empiris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literatur CSR.</w:t>
      </w:r>
    </w:p>
    <w:p w14:paraId="15EF63D3" w14:textId="4C7E3F37" w:rsidR="006151D9" w:rsidRPr="006151D9" w:rsidRDefault="003A1FB2" w:rsidP="003A1FB2">
      <w:pPr>
        <w:spacing w:after="0" w:line="360" w:lineRule="auto"/>
        <w:ind w:firstLine="720"/>
        <w:jc w:val="both"/>
        <w:rPr>
          <w:rStyle w:val="Strong"/>
          <w:rFonts w:ascii="Cambria" w:hAnsi="Cambria"/>
          <w:b w:val="0"/>
          <w:bCs w:val="0"/>
          <w:sz w:val="24"/>
          <w:szCs w:val="24"/>
        </w:rPr>
      </w:pP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Meskipun secara umum program CSR menunjukkan keberhasilan, penelitian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ini juga mengungkap sejumlah tantangan yang dapat menghambat efektivitas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jangka panjang. Beberapa permasalahan mencakup keterbatasan modal untuk skala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produksi lanjutan, kurangnya dokumentasi administratif seperti serah terima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barang yang jelas, hingga fluktuasi motivasi anggota kelompok dampingan.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Tantangan ini menunjukkan bahwa keberhasilan CSR tidak hanya bergantung pada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desain program, tetapi juga pada kapasitas kelembagaan lokal yang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menjalankannya. Seperti yang dikemukakan oleh Ragazou et al. (2024), efektivitas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strategi TBL membutuhkan proses pengambilan keputusan yang melibatkan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banyak kriteria, termasuk kesiapan struktur sosial lokal. Maka, perusahaan perlu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memperkuat proses pendampingan kelembagaan dan membangun mekanisme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pemantauan yang adaptif. Pendekatan </w:t>
      </w:r>
      <w:r w:rsidRPr="00274B84">
        <w:rPr>
          <w:rStyle w:val="Strong"/>
          <w:rFonts w:ascii="Cambria" w:hAnsi="Cambria"/>
          <w:b w:val="0"/>
          <w:bCs w:val="0"/>
          <w:i/>
          <w:iCs/>
          <w:sz w:val="24"/>
          <w:szCs w:val="24"/>
        </w:rPr>
        <w:t>top-down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semata terbukti tidak memadai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untuk mengatasi kompleksitas sosial, sehingga diperlukan kombinasi pendekatan</w:t>
      </w:r>
      <w:r>
        <w:rPr>
          <w:rStyle w:val="Strong"/>
          <w:rFonts w:ascii="Cambria" w:hAnsi="Cambria"/>
          <w:b w:val="0"/>
          <w:bCs w:val="0"/>
          <w:sz w:val="24"/>
          <w:szCs w:val="24"/>
        </w:rPr>
        <w:t xml:space="preserve"> </w:t>
      </w:r>
      <w:r w:rsidRPr="003A1FB2">
        <w:rPr>
          <w:rStyle w:val="Strong"/>
          <w:rFonts w:ascii="Cambria" w:hAnsi="Cambria"/>
          <w:b w:val="0"/>
          <w:bCs w:val="0"/>
          <w:sz w:val="24"/>
          <w:szCs w:val="24"/>
        </w:rPr>
        <w:t>struktural dan kultural dalam implementasi CSR</w:t>
      </w:r>
      <w:r w:rsidR="006151D9" w:rsidRPr="006151D9">
        <w:rPr>
          <w:rStyle w:val="Strong"/>
          <w:rFonts w:ascii="Cambria" w:hAnsi="Cambria"/>
          <w:b w:val="0"/>
          <w:bCs w:val="0"/>
          <w:sz w:val="24"/>
          <w:szCs w:val="24"/>
        </w:rPr>
        <w:t>.</w:t>
      </w:r>
    </w:p>
    <w:p w14:paraId="594E2C8F" w14:textId="77777777" w:rsidR="0084117F" w:rsidRPr="000173E2" w:rsidRDefault="0084117F" w:rsidP="00A7189A">
      <w:pPr>
        <w:spacing w:before="200" w:after="0" w:line="360" w:lineRule="auto"/>
        <w:ind w:right="-45"/>
        <w:jc w:val="both"/>
        <w:rPr>
          <w:rFonts w:ascii="Cambria" w:hAnsi="Cambria" w:cs="Arial"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>KESIMPULAN</w:t>
      </w:r>
    </w:p>
    <w:p w14:paraId="4BBA068A" w14:textId="2DB94E01" w:rsidR="00A77E5B" w:rsidRPr="003A1FB2" w:rsidRDefault="003A1FB2" w:rsidP="00A7189A">
      <w:pPr>
        <w:spacing w:after="0" w:line="360" w:lineRule="auto"/>
        <w:ind w:firstLine="709"/>
        <w:jc w:val="both"/>
        <w:rPr>
          <w:rFonts w:ascii="Cambria" w:eastAsia="Times New Roman" w:hAnsi="Cambria"/>
          <w:sz w:val="24"/>
          <w:szCs w:val="24"/>
          <w:lang w:eastAsia="en-ID"/>
        </w:rPr>
      </w:pPr>
      <w:r w:rsidRPr="003A1FB2">
        <w:rPr>
          <w:rFonts w:ascii="Cambria" w:eastAsia="Times New Roman" w:hAnsi="Cambria"/>
          <w:sz w:val="24"/>
          <w:szCs w:val="24"/>
          <w:lang w:eastAsia="en-ID"/>
        </w:rPr>
        <w:t>Secara umum, hasil penelitian menunjukkan bahwa implementasi program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 xml:space="preserve">CSR berbasis </w:t>
      </w:r>
      <w:r w:rsidRPr="003A1FB2">
        <w:rPr>
          <w:rFonts w:ascii="Cambria" w:eastAsia="Times New Roman" w:hAnsi="Cambria"/>
          <w:i/>
          <w:iCs/>
          <w:sz w:val="24"/>
          <w:szCs w:val="24"/>
          <w:lang w:eastAsia="en-ID"/>
        </w:rPr>
        <w:t>Triple Bottom Line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 xml:space="preserve"> oleh PT Pertamina Patra Niaga DPPU Supadio telah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berjalan secara efektif dan berdampak nyata terhadap masyarakat. Strategi CSR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yang dijalankan mampu menjembatani kepentingan bisnis dan sosial, sekaligus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memperkuat posisi perusahaan dalam lanskap pembangunan berkelanjutan. Saran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yang dapat diberikan ke depan adalah agar perusahaan melakukan replikasi praktik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baik ini ke unit DPPU lainnya dengan penyesuaian terhadap kondisi sosial-ekonomi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setempat. Selain itu, sistem pemantauan dan evaluasi dampak jangka panjang perlu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diperkuat agar keberhasilan program tidak hanya bersifat sesaat, tetapi terus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berkelanjutan. Keterlibatan aktif masyarakat, fleksibilitas kebijakan, dan investasi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pada inovasi sosial harus terus menjadi poros utama strategi CSR. Dengan demikian,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CSR bukan sekadar kewajiban moral atau alat branding, tetapi menjadi mekanisme</w:t>
      </w:r>
      <w:r>
        <w:rPr>
          <w:rFonts w:ascii="Cambria" w:eastAsia="Times New Roman" w:hAnsi="Cambria"/>
          <w:sz w:val="24"/>
          <w:szCs w:val="24"/>
          <w:lang w:eastAsia="en-ID"/>
        </w:rPr>
        <w:t xml:space="preserve"> </w:t>
      </w:r>
      <w:r w:rsidRPr="003A1FB2">
        <w:rPr>
          <w:rFonts w:ascii="Cambria" w:eastAsia="Times New Roman" w:hAnsi="Cambria"/>
          <w:sz w:val="24"/>
          <w:szCs w:val="24"/>
          <w:lang w:eastAsia="en-ID"/>
        </w:rPr>
        <w:t>pembangunan sosial dan ekonomi yang transformatif dan inklusif</w:t>
      </w:r>
      <w:r w:rsidR="00907771" w:rsidRPr="00907771">
        <w:rPr>
          <w:rFonts w:ascii="Cambria" w:eastAsia="Times New Roman" w:hAnsi="Cambria"/>
          <w:sz w:val="24"/>
          <w:szCs w:val="24"/>
          <w:lang w:eastAsia="en-ID"/>
        </w:rPr>
        <w:t>.</w:t>
      </w:r>
    </w:p>
    <w:p w14:paraId="3C0E57D1" w14:textId="061F2595" w:rsidR="006F60D0" w:rsidRDefault="0084117F" w:rsidP="00A7189A">
      <w:pPr>
        <w:widowControl w:val="0"/>
        <w:autoSpaceDE w:val="0"/>
        <w:autoSpaceDN w:val="0"/>
        <w:adjustRightInd w:val="0"/>
        <w:spacing w:before="200" w:line="240" w:lineRule="auto"/>
        <w:ind w:left="851" w:hanging="851"/>
        <w:jc w:val="both"/>
        <w:rPr>
          <w:rFonts w:ascii="Cambria" w:hAnsi="Cambria" w:cs="Noto Serif"/>
          <w:sz w:val="24"/>
          <w:szCs w:val="24"/>
          <w:shd w:val="clear" w:color="auto" w:fill="FFFFFF"/>
        </w:rPr>
      </w:pPr>
      <w:r>
        <w:rPr>
          <w:rFonts w:ascii="Cambria" w:hAnsi="Cambria"/>
          <w:b/>
          <w:color w:val="000000"/>
          <w:sz w:val="24"/>
          <w:szCs w:val="24"/>
        </w:rPr>
        <w:t>DAFTAR RUJUKAN</w:t>
      </w:r>
      <w:r w:rsidR="0049596B" w:rsidRPr="0049596B">
        <w:rPr>
          <w:rFonts w:ascii="Cambria" w:hAnsi="Cambria"/>
          <w:noProof/>
          <w:sz w:val="24"/>
          <w:szCs w:val="24"/>
          <w:lang w:val="id-ID"/>
        </w:rPr>
        <w:t xml:space="preserve"> </w:t>
      </w:r>
    </w:p>
    <w:p w14:paraId="4E953F11" w14:textId="64D39AE1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bookmarkStart w:id="0" w:name="_GoBack"/>
      <w:r w:rsidRPr="003A1FB2">
        <w:rPr>
          <w:rFonts w:ascii="Cambria" w:hAnsi="Cambria"/>
          <w:sz w:val="24"/>
          <w:szCs w:val="24"/>
        </w:rPr>
        <w:t xml:space="preserve">Bolis, I., Morioka, S. N., Brunoro, C. M., &amp; Sznelwar, L. I. (2013). Sustainability policies and 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 xml:space="preserve"> (CSR) Ergonomics contribution regarding work in companies. Proceedings of the Human Factors and Ergonomics Society Annual Meeting, 57(1), 1080–1084. </w:t>
      </w:r>
    </w:p>
    <w:p w14:paraId="1D9A6332" w14:textId="41C572E0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Castilla-Polo, F., &amp; Sánchez-Hernández, M. I. (2025). A bibliometric and thematic analysis of the reputation-performance relationship within the </w:t>
      </w:r>
      <w:r w:rsidRPr="003A1FB2">
        <w:rPr>
          <w:rFonts w:ascii="Cambria" w:hAnsi="Cambria"/>
          <w:i/>
          <w:iCs/>
          <w:sz w:val="24"/>
          <w:szCs w:val="24"/>
        </w:rPr>
        <w:t>Triple Bottom Line</w:t>
      </w:r>
      <w:r w:rsidRPr="003A1FB2">
        <w:rPr>
          <w:rFonts w:ascii="Cambria" w:hAnsi="Cambria"/>
          <w:sz w:val="24"/>
          <w:szCs w:val="24"/>
        </w:rPr>
        <w:t xml:space="preserve"> framework. Journal of Management and Business Research. </w:t>
      </w:r>
    </w:p>
    <w:p w14:paraId="087A1CF5" w14:textId="2E2A2DC6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>Dewi, C I R S, I Triyuwono, and B Hariadi. “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 xml:space="preserve"> Model Based on Tri Hita Karana Philosophy.” Cogent Social Sciences 10, no. 1 (2024): 2295056. </w:t>
      </w:r>
    </w:p>
    <w:p w14:paraId="06F5A05B" w14:textId="77777777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George, R. (2025). Socially Responsible Marketing. In Marketing Tourism and Hospitality: Concepts and Cases. </w:t>
      </w:r>
    </w:p>
    <w:p w14:paraId="0AD2F30C" w14:textId="77777777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Gonzalez-Padron, T. L., Fan, Y., &amp; Zhou, M. (2025). The power of focus, emphasis, and intent: the impact of CSR strategic orientation on market performance. Asian Journal of Business Ethics. </w:t>
      </w:r>
    </w:p>
    <w:p w14:paraId="22413B2C" w14:textId="7B86F7C0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Gunawan, J. (2021). 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 xml:space="preserve"> in Indonesia: Practices of multinational companies. In Practices of 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 xml:space="preserve"> in the Era of Sustainable Development (pp. 489–503). Springer. </w:t>
      </w:r>
    </w:p>
    <w:p w14:paraId="63FA30A7" w14:textId="13CCE666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Hamdani, A., Sule, E. T., &amp; Soemaryani, I. (2024). 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 xml:space="preserve"> as responsible leadership mediator for organizational citizenship behavior. Cogent Business &amp; Management, 11(1), 2336268. </w:t>
      </w:r>
    </w:p>
    <w:p w14:paraId="20DC2508" w14:textId="77777777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Hollebeek, L. D., Rajan, B., &amp; Kumar, V. (2025). Responsible stakeholder engagement marketing. Journal of Business Research. </w:t>
      </w:r>
    </w:p>
    <w:p w14:paraId="71CEB5BB" w14:textId="0725F7CC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Ibrahim, S., Jamali, D., &amp; Karatas-Ozkan, M. (2012). 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 xml:space="preserve"> (CSR) in Small and Medium-Sized Enterprises: A developing country perspective. In Social and sustainable enterprise: Changing the nature of business (pp. 167–192). Emerald Group Publishing Limited. </w:t>
      </w:r>
    </w:p>
    <w:p w14:paraId="11A7DD04" w14:textId="54AA9BFF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Jayiya, S., Makwambeni, B., &amp; Adebayo, J. O. (2022). PR practitioners’ conceptualisation of the role of stakeholder engagement in 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 xml:space="preserve"> planning and implementation. African Journal of InterMultidisciplinary Studies, 4(1), 76–85. </w:t>
      </w:r>
    </w:p>
    <w:p w14:paraId="18E61EBE" w14:textId="77777777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Lane, K., Reckhow, D., Tobiason, J., &amp; Kumpel, E. (2023). Triple‐bottom‐line approach for comparing point‐of‐use/point‐of‐entry to centralized water treatment. AWWA Water Science, 5(2), e1320. </w:t>
      </w:r>
    </w:p>
    <w:p w14:paraId="6CBA98C4" w14:textId="5712A47F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Lourenço, F., &amp; Júnior, O. C. (2021). A Preliminary Investigation into the Environmental and Social Dimensions on the Sustainability </w:t>
      </w:r>
      <w:r w:rsidRPr="003A1FB2">
        <w:rPr>
          <w:rFonts w:ascii="Cambria" w:hAnsi="Cambria"/>
          <w:i/>
          <w:iCs/>
          <w:sz w:val="24"/>
          <w:szCs w:val="24"/>
        </w:rPr>
        <w:t>Triple Bottom Line</w:t>
      </w:r>
      <w:r w:rsidRPr="003A1FB2">
        <w:rPr>
          <w:rFonts w:ascii="Cambria" w:hAnsi="Cambria"/>
          <w:sz w:val="24"/>
          <w:szCs w:val="24"/>
        </w:rPr>
        <w:t xml:space="preserve">. Integrating Social Responsibility and Sustainable Development: Addressing Challenges and Creating Opportunities, 425–436. </w:t>
      </w:r>
    </w:p>
    <w:p w14:paraId="4C0F45A2" w14:textId="77777777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Minutiello, V. (2025). The Evolution of Non-financial Reporting: Antecedents and Reference Legislation. In Springer. </w:t>
      </w:r>
    </w:p>
    <w:p w14:paraId="71DF55A7" w14:textId="77777777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Nataliia, H. (2023). Soft Skills in the Process of Ensuring the Principles of Education with a Life Force. Advancement in Management and Technology (AMT), 3(3), 33– 37. </w:t>
      </w:r>
    </w:p>
    <w:p w14:paraId="511A1D70" w14:textId="77777777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Nikolenko, K., Poperechna, G., Diatlova, I., Kvitkin, P., &amp; Hrytsenko, A. (2024). Philosophical and Psychological Foundations of Social Responsibility and Ethics. Futurity Philosophy, 3(3), 95–113. </w:t>
      </w:r>
    </w:p>
    <w:p w14:paraId="756CEE19" w14:textId="77777777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Pandiangan, E. P. (2022). Analisis Partisipasi Masyarakat Dalam Pelaksanaan Pembangunan Desa Untuk Mengoptimalkan Kesejahteraan Masyarakat Di Desa Bandar Klippa, Kecamatan Percut Sei Tuan, Kabupaten Deli Serdang. Jurnal Ilmu Sosial Dan Politik, 2(1), 44–56. </w:t>
      </w:r>
    </w:p>
    <w:p w14:paraId="19967A54" w14:textId="19432B9E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>Radyati, M. R. N., &amp; Tjahjono, B. (2021). The new social economy in Indonesia: Features, recent development, and challenges. In The New Social and Impact Economy (pp. 61–74). Springer.</w:t>
      </w:r>
    </w:p>
    <w:p w14:paraId="6CAEEB91" w14:textId="2D42D0BC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Ragazou, K., Zopounidis, C., &amp; Garefalakis, A. (2024). </w:t>
      </w:r>
      <w:r w:rsidRPr="003A1FB2">
        <w:rPr>
          <w:rFonts w:ascii="Cambria" w:hAnsi="Cambria"/>
          <w:i/>
          <w:iCs/>
          <w:sz w:val="24"/>
          <w:szCs w:val="24"/>
        </w:rPr>
        <w:t>Triple Bottom Line</w:t>
      </w:r>
      <w:r w:rsidRPr="003A1FB2">
        <w:rPr>
          <w:rFonts w:ascii="Cambria" w:hAnsi="Cambria"/>
          <w:sz w:val="24"/>
          <w:szCs w:val="24"/>
        </w:rPr>
        <w:t xml:space="preserve"> and Multiple Criteria Decision Making Analysis. In Springer.</w:t>
      </w:r>
    </w:p>
    <w:p w14:paraId="14FEBC73" w14:textId="27A797E1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Rahmawati, P. I., &amp; Jiang, M. (2019). Spirituality and 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>: an empirical narrative from the Balinese tourism industry. Journal of Sustainable Tourism, 27(7), 967–984.</w:t>
      </w:r>
    </w:p>
    <w:p w14:paraId="77DCC0F4" w14:textId="03233E68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>Rustinsyah. (2016). The impact of a cement company’s CSR programmes on the lifestyles of a rural community: a case study in the Ring 1 area in Tuban, East Java, Indonesia. International Journal of Sustainable Development &amp; World Ecology, 23(5), 409–420.</w:t>
      </w:r>
    </w:p>
    <w:p w14:paraId="1243919B" w14:textId="7BE31FE8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>Scavarda, A., Daú, G., Scavarda, L. F., Chhetri, P., &amp; Jaska, P. (2023). A conceptual framework for the corporate sustainability higher education in Latin America. International Journal of Sustainability in Higher Education, 24(2), 481–501.</w:t>
      </w:r>
    </w:p>
    <w:p w14:paraId="35A7F55F" w14:textId="261B798E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>Shams, S. M. R., Brown, D. M., &amp; Hardcastle, K. (2025). Product and service development for people, planet, and profit. In Springer.</w:t>
      </w:r>
    </w:p>
    <w:p w14:paraId="72B532CD" w14:textId="712F1BC8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>Shiddiqy, M. A. (2024). Pengabdian Dengan Melibatkan Masyarakat Lokal Dalam Industri Pariwisata Baturaden Purwokerto. NYIUR-Dimas: Jurnal Ilmiah Pengabdian Kepada Masyarakat, 4(1), 25–33.</w:t>
      </w:r>
    </w:p>
    <w:p w14:paraId="1798C5DC" w14:textId="65CD532D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 xml:space="preserve">Shofawati, A. (2018). 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 xml:space="preserve"> in Islamic Banking. Case of Indonesia. In International Business Development (pp. 303–312). Springer.</w:t>
      </w:r>
    </w:p>
    <w:p w14:paraId="3C50D5FE" w14:textId="34C9315D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>Suhartini, D., Tjahjadi, B., &amp; Fayanni, Y. (2024). Impact of sustainability reporting and governance on firm value: insights from the Indonesian manufacturing sector. Cogent Business &amp; Management, 11(1), 2381087.</w:t>
      </w:r>
    </w:p>
    <w:p w14:paraId="454B0103" w14:textId="65C0EECE" w:rsidR="003A1FB2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4"/>
          <w:szCs w:val="24"/>
        </w:rPr>
      </w:pPr>
      <w:r w:rsidRPr="003A1FB2">
        <w:rPr>
          <w:rFonts w:ascii="Cambria" w:hAnsi="Cambria"/>
          <w:sz w:val="24"/>
          <w:szCs w:val="24"/>
        </w:rPr>
        <w:t>Suwandi, S., Sukaris, S., &amp; Faris, A. (2019). Model CSR dalam penguatan modal sosial dan peran kelembagaan masyarakat. Akuntabilitas: Jurnal Ilmu Akuntansi, 12(1), 105–118. Vesala-Varttala, T., Nunes, C., &amp; Garrido, S. (2025). Sharing university students’ stakeholder expectations about improving the impact of retailing companies’ sustainable and socially responsible actions. In Springer.</w:t>
      </w:r>
    </w:p>
    <w:p w14:paraId="130ADB83" w14:textId="4CE5F319" w:rsidR="00C64C01" w:rsidRPr="003A1FB2" w:rsidRDefault="003A1FB2" w:rsidP="00A7189A">
      <w:pPr>
        <w:pStyle w:val="BodyText"/>
        <w:ind w:left="567" w:hanging="567"/>
        <w:jc w:val="both"/>
        <w:rPr>
          <w:rFonts w:ascii="Cambria" w:hAnsi="Cambria"/>
          <w:sz w:val="28"/>
          <w:szCs w:val="28"/>
        </w:rPr>
      </w:pPr>
      <w:r w:rsidRPr="003A1FB2">
        <w:rPr>
          <w:rFonts w:ascii="Cambria" w:hAnsi="Cambria"/>
          <w:sz w:val="24"/>
          <w:szCs w:val="24"/>
        </w:rPr>
        <w:t xml:space="preserve">Yunari, S. B., Suhariningsih, Sihabudin, &amp; Safa’at, R. (2019). Regulation on Corporate Social and Environmental Responsibility (CSER) in Indonesia: Changing Concept of </w:t>
      </w:r>
      <w:r w:rsidRPr="003A1FB2">
        <w:rPr>
          <w:rFonts w:ascii="Cambria" w:hAnsi="Cambria"/>
          <w:i/>
          <w:iCs/>
          <w:sz w:val="24"/>
          <w:szCs w:val="24"/>
        </w:rPr>
        <w:t>Corporate Social Responsibility</w:t>
      </w:r>
      <w:r w:rsidRPr="003A1FB2">
        <w:rPr>
          <w:rFonts w:ascii="Cambria" w:hAnsi="Cambria"/>
          <w:sz w:val="24"/>
          <w:szCs w:val="24"/>
        </w:rPr>
        <w:t xml:space="preserve"> (CSR) from Voluntary to Mandatory. Journal of Law, Policy and Globalization., 81, 75–81.</w:t>
      </w:r>
      <w:bookmarkEnd w:id="0"/>
    </w:p>
    <w:p w14:paraId="193EF794" w14:textId="59950324" w:rsidR="00A858D7" w:rsidRPr="00124907" w:rsidRDefault="00A858D7" w:rsidP="00C1743F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sectPr w:rsidR="00A858D7" w:rsidRPr="00124907" w:rsidSect="009B6A5C">
      <w:headerReference w:type="default" r:id="rId14"/>
      <w:footerReference w:type="default" r:id="rId15"/>
      <w:headerReference w:type="first" r:id="rId16"/>
      <w:footerReference w:type="first" r:id="rId17"/>
      <w:type w:val="nextColumn"/>
      <w:pgSz w:w="11907" w:h="16840" w:code="9"/>
      <w:pgMar w:top="1701" w:right="1701" w:bottom="1701" w:left="1701" w:header="567" w:footer="567" w:gutter="0"/>
      <w:pgNumType w:start="86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B49907" w14:textId="77777777" w:rsidR="00004D88" w:rsidRDefault="00004D88" w:rsidP="00375AA1">
      <w:pPr>
        <w:spacing w:after="0" w:line="240" w:lineRule="auto"/>
      </w:pPr>
      <w:r>
        <w:separator/>
      </w:r>
    </w:p>
  </w:endnote>
  <w:endnote w:type="continuationSeparator" w:id="0">
    <w:p w14:paraId="298C58A0" w14:textId="77777777" w:rsidR="00004D88" w:rsidRDefault="00004D88" w:rsidP="0037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2" w:type="dxa"/>
      <w:jc w:val="center"/>
      <w:tblLook w:val="04A0" w:firstRow="1" w:lastRow="0" w:firstColumn="1" w:lastColumn="0" w:noHBand="0" w:noVBand="1"/>
    </w:tblPr>
    <w:tblGrid>
      <w:gridCol w:w="8291"/>
      <w:gridCol w:w="1951"/>
    </w:tblGrid>
    <w:tr w:rsidR="005D3351" w14:paraId="3E6B0894" w14:textId="77777777" w:rsidTr="00F63A74">
      <w:trPr>
        <w:trHeight w:val="117"/>
        <w:jc w:val="center"/>
      </w:trPr>
      <w:tc>
        <w:tcPr>
          <w:tcW w:w="8291" w:type="dxa"/>
          <w:tcBorders>
            <w:bottom w:val="single" w:sz="8" w:space="0" w:color="auto"/>
          </w:tcBorders>
        </w:tcPr>
        <w:p w14:paraId="7E0EE024" w14:textId="77777777" w:rsidR="005D3351" w:rsidRPr="006A3F24" w:rsidRDefault="005D3351" w:rsidP="00BD726D">
          <w:pPr>
            <w:pStyle w:val="Footer"/>
            <w:spacing w:after="0" w:line="240" w:lineRule="auto"/>
            <w:jc w:val="right"/>
            <w:rPr>
              <w:sz w:val="24"/>
            </w:rPr>
          </w:pPr>
        </w:p>
      </w:tc>
      <w:tc>
        <w:tcPr>
          <w:tcW w:w="1951" w:type="dxa"/>
          <w:tcBorders>
            <w:bottom w:val="single" w:sz="8" w:space="0" w:color="auto"/>
          </w:tcBorders>
        </w:tcPr>
        <w:p w14:paraId="1BB9B540" w14:textId="77777777" w:rsidR="005D3351" w:rsidRDefault="005D3351" w:rsidP="00BD726D">
          <w:pPr>
            <w:pStyle w:val="Footer"/>
            <w:spacing w:after="0" w:line="240" w:lineRule="auto"/>
            <w:jc w:val="right"/>
          </w:pPr>
        </w:p>
      </w:tc>
    </w:tr>
    <w:tr w:rsidR="005D3351" w14:paraId="07369DB8" w14:textId="77777777" w:rsidTr="00F63A74">
      <w:trPr>
        <w:trHeight w:val="710"/>
        <w:jc w:val="center"/>
      </w:trPr>
      <w:tc>
        <w:tcPr>
          <w:tcW w:w="8291" w:type="dxa"/>
          <w:tcBorders>
            <w:top w:val="single" w:sz="8" w:space="0" w:color="auto"/>
            <w:bottom w:val="nil"/>
          </w:tcBorders>
        </w:tcPr>
        <w:p w14:paraId="2B34F5AD" w14:textId="45C33417" w:rsidR="005D3351" w:rsidRPr="00367ECD" w:rsidRDefault="00D26307" w:rsidP="006A3F24">
          <w:pPr>
            <w:spacing w:before="120" w:after="0" w:line="240" w:lineRule="auto"/>
            <w:rPr>
              <w:rFonts w:ascii="Cambria" w:hAnsi="Cambria"/>
              <w:sz w:val="20"/>
              <w:szCs w:val="20"/>
            </w:rPr>
          </w:pPr>
          <w:r w:rsidRPr="00D26307">
            <w:rPr>
              <w:b/>
              <w:sz w:val="20"/>
            </w:rPr>
            <w:t>https://ejurnal.uibu.ac.id/index.php/ecoducation</w:t>
          </w:r>
        </w:p>
      </w:tc>
      <w:tc>
        <w:tcPr>
          <w:tcW w:w="1951" w:type="dxa"/>
          <w:tcBorders>
            <w:top w:val="single" w:sz="8" w:space="0" w:color="auto"/>
            <w:bottom w:val="nil"/>
          </w:tcBorders>
        </w:tcPr>
        <w:p w14:paraId="29C1B482" w14:textId="4DD7C6E1" w:rsidR="005D3351" w:rsidRDefault="005D3351" w:rsidP="006A3F24">
          <w:pPr>
            <w:pStyle w:val="Footer"/>
            <w:spacing w:before="120" w:after="0" w:line="240" w:lineRule="auto"/>
            <w:jc w:val="right"/>
          </w:pPr>
          <w:r>
            <w:t xml:space="preserve">Page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1447F">
            <w:rPr>
              <w:noProof/>
            </w:rPr>
            <w:t>879</w:t>
          </w:r>
          <w:r>
            <w:rPr>
              <w:noProof/>
            </w:rPr>
            <w:fldChar w:fldCharType="end"/>
          </w:r>
          <w:r>
            <w:t xml:space="preserve"> </w:t>
          </w:r>
        </w:p>
      </w:tc>
    </w:tr>
  </w:tbl>
  <w:p w14:paraId="58978147" w14:textId="77777777" w:rsidR="00957199" w:rsidRDefault="00957199" w:rsidP="00A7189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05" w:type="dxa"/>
      <w:jc w:val="center"/>
      <w:tblLook w:val="04A0" w:firstRow="1" w:lastRow="0" w:firstColumn="1" w:lastColumn="0" w:noHBand="0" w:noVBand="1"/>
    </w:tblPr>
    <w:tblGrid>
      <w:gridCol w:w="8147"/>
      <w:gridCol w:w="1951"/>
      <w:gridCol w:w="7"/>
    </w:tblGrid>
    <w:tr w:rsidR="00D3008D" w14:paraId="4F46EC91" w14:textId="77777777" w:rsidTr="00F63A74">
      <w:trPr>
        <w:trHeight w:val="117"/>
        <w:jc w:val="center"/>
      </w:trPr>
      <w:tc>
        <w:tcPr>
          <w:tcW w:w="8148" w:type="dxa"/>
          <w:tcBorders>
            <w:bottom w:val="single" w:sz="8" w:space="0" w:color="auto"/>
          </w:tcBorders>
        </w:tcPr>
        <w:p w14:paraId="3EF92985" w14:textId="77777777" w:rsidR="00D3008D" w:rsidRPr="006A3F24" w:rsidRDefault="00D3008D" w:rsidP="00106946">
          <w:pPr>
            <w:pStyle w:val="Footer"/>
            <w:spacing w:after="0" w:line="240" w:lineRule="auto"/>
            <w:jc w:val="right"/>
            <w:rPr>
              <w:sz w:val="24"/>
            </w:rPr>
          </w:pPr>
        </w:p>
      </w:tc>
      <w:tc>
        <w:tcPr>
          <w:tcW w:w="1954" w:type="dxa"/>
          <w:gridSpan w:val="2"/>
          <w:tcBorders>
            <w:bottom w:val="single" w:sz="8" w:space="0" w:color="auto"/>
          </w:tcBorders>
        </w:tcPr>
        <w:p w14:paraId="77BAAB34" w14:textId="77777777" w:rsidR="00D3008D" w:rsidRDefault="00D3008D" w:rsidP="00106946">
          <w:pPr>
            <w:pStyle w:val="Footer"/>
            <w:spacing w:after="0" w:line="240" w:lineRule="auto"/>
            <w:jc w:val="right"/>
          </w:pPr>
        </w:p>
      </w:tc>
    </w:tr>
    <w:tr w:rsidR="00D3008D" w14:paraId="4810E4E9" w14:textId="77777777" w:rsidTr="00F63A74">
      <w:trPr>
        <w:gridAfter w:val="1"/>
        <w:wAfter w:w="7" w:type="dxa"/>
        <w:trHeight w:val="680"/>
        <w:jc w:val="center"/>
      </w:trPr>
      <w:tc>
        <w:tcPr>
          <w:tcW w:w="8146" w:type="dxa"/>
          <w:tcBorders>
            <w:top w:val="single" w:sz="8" w:space="0" w:color="auto"/>
            <w:bottom w:val="nil"/>
          </w:tcBorders>
        </w:tcPr>
        <w:p w14:paraId="6EEE481F" w14:textId="18EA8972" w:rsidR="00D3008D" w:rsidRPr="007A2564" w:rsidRDefault="00D26307" w:rsidP="00824A47">
          <w:pPr>
            <w:spacing w:before="120" w:after="0" w:line="240" w:lineRule="auto"/>
            <w:ind w:left="37"/>
            <w:rPr>
              <w:rFonts w:ascii="Cambria" w:hAnsi="Cambria"/>
              <w:b/>
              <w:sz w:val="20"/>
              <w:szCs w:val="20"/>
            </w:rPr>
          </w:pPr>
          <w:r w:rsidRPr="00D26307">
            <w:rPr>
              <w:b/>
              <w:sz w:val="20"/>
            </w:rPr>
            <w:t>https://ejurnal.uibu.ac.id/index.php/ecoducation</w:t>
          </w:r>
        </w:p>
      </w:tc>
      <w:tc>
        <w:tcPr>
          <w:tcW w:w="1952" w:type="dxa"/>
          <w:tcBorders>
            <w:top w:val="single" w:sz="8" w:space="0" w:color="auto"/>
            <w:bottom w:val="nil"/>
          </w:tcBorders>
        </w:tcPr>
        <w:p w14:paraId="4651B81C" w14:textId="01A73C74" w:rsidR="00D3008D" w:rsidRDefault="00D3008D" w:rsidP="006A3F24">
          <w:pPr>
            <w:pStyle w:val="Footer"/>
            <w:spacing w:before="120" w:after="0" w:line="240" w:lineRule="auto"/>
            <w:jc w:val="right"/>
          </w:pPr>
          <w:r>
            <w:t xml:space="preserve">Page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04D88">
            <w:rPr>
              <w:noProof/>
            </w:rPr>
            <w:t>865</w:t>
          </w:r>
          <w:r>
            <w:rPr>
              <w:noProof/>
            </w:rPr>
            <w:fldChar w:fldCharType="end"/>
          </w:r>
          <w:r>
            <w:t xml:space="preserve"> </w:t>
          </w:r>
        </w:p>
      </w:tc>
    </w:tr>
  </w:tbl>
  <w:p w14:paraId="0F8051DB" w14:textId="77777777" w:rsidR="00957199" w:rsidRDefault="00957199" w:rsidP="00A7189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CD3CFE" w14:textId="77777777" w:rsidR="00004D88" w:rsidRDefault="00004D88" w:rsidP="00375AA1">
      <w:pPr>
        <w:spacing w:after="0" w:line="240" w:lineRule="auto"/>
      </w:pPr>
      <w:r>
        <w:separator/>
      </w:r>
    </w:p>
  </w:footnote>
  <w:footnote w:type="continuationSeparator" w:id="0">
    <w:p w14:paraId="0057D83F" w14:textId="77777777" w:rsidR="00004D88" w:rsidRDefault="00004D88" w:rsidP="00375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72" w:type="dxa"/>
      <w:jc w:val="center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10172"/>
    </w:tblGrid>
    <w:tr w:rsidR="00E32C8C" w:rsidRPr="00157BF2" w14:paraId="7F9CE760" w14:textId="77777777" w:rsidTr="006A3F24">
      <w:trPr>
        <w:trHeight w:val="794"/>
        <w:jc w:val="center"/>
      </w:trPr>
      <w:tc>
        <w:tcPr>
          <w:tcW w:w="10172" w:type="dxa"/>
          <w:tcBorders>
            <w:bottom w:val="thinThickMediumGap" w:sz="12" w:space="0" w:color="auto"/>
          </w:tcBorders>
          <w:vAlign w:val="center"/>
        </w:tcPr>
        <w:p w14:paraId="241A4508" w14:textId="7011E451" w:rsidR="00E32C8C" w:rsidRPr="00091C55" w:rsidRDefault="004E50F8" w:rsidP="007429F3">
          <w:pPr>
            <w:pStyle w:val="Header"/>
            <w:tabs>
              <w:tab w:val="center" w:pos="4252"/>
              <w:tab w:val="right" w:pos="8505"/>
            </w:tabs>
            <w:spacing w:after="0" w:line="240" w:lineRule="auto"/>
            <w:ind w:left="37"/>
            <w:rPr>
              <w:rFonts w:ascii="Cambria" w:hAnsi="Cambria" w:cs="Arial"/>
              <w:color w:val="000000"/>
            </w:rPr>
          </w:pPr>
          <w:r w:rsidRPr="004E50F8">
            <w:rPr>
              <w:rFonts w:ascii="Cambria" w:hAnsi="Cambria"/>
              <w:b/>
            </w:rPr>
            <w:t>Agus Nurdiansah</w:t>
          </w:r>
          <w:r w:rsidR="00E32C8C">
            <w:rPr>
              <w:rFonts w:ascii="Cambria" w:hAnsi="Cambria"/>
              <w:b/>
            </w:rPr>
            <w:t>, dkk</w:t>
          </w:r>
          <w:r w:rsidR="00E32C8C" w:rsidRPr="0084117F">
            <w:rPr>
              <w:rFonts w:ascii="Cambria" w:hAnsi="Cambria"/>
              <w:lang w:val="id-ID"/>
            </w:rPr>
            <w:t>–</w:t>
          </w:r>
          <w:bookmarkStart w:id="1" w:name="ANALISIS_PEMBELAJARAN_PROBLEM_BASED_LEAR"/>
          <w:bookmarkEnd w:id="1"/>
          <w:r w:rsidRPr="004E50F8">
            <w:rPr>
              <w:rFonts w:ascii="Cambria" w:hAnsi="Cambria" w:cs="Arial"/>
              <w:b/>
              <w:color w:val="000000"/>
              <w:sz w:val="28"/>
              <w:szCs w:val="28"/>
            </w:rPr>
            <w:t xml:space="preserve"> </w:t>
          </w:r>
          <w:r w:rsidRPr="004E50F8">
            <w:rPr>
              <w:rFonts w:ascii="Cambria" w:hAnsi="Cambria" w:cs="Arial"/>
              <w:color w:val="000000"/>
            </w:rPr>
            <w:t xml:space="preserve">Analisis </w:t>
          </w:r>
          <w:r w:rsidRPr="004E50F8">
            <w:rPr>
              <w:rFonts w:ascii="Cambria" w:hAnsi="Cambria" w:cs="Arial"/>
              <w:i/>
              <w:iCs/>
              <w:color w:val="000000"/>
            </w:rPr>
            <w:t>Triple Bottom Line</w:t>
          </w:r>
          <w:r w:rsidRPr="004E50F8">
            <w:rPr>
              <w:rFonts w:ascii="Cambria" w:hAnsi="Cambria" w:cs="Arial"/>
              <w:color w:val="000000"/>
            </w:rPr>
            <w:t xml:space="preserve"> Dalam </w:t>
          </w:r>
          <w:r w:rsidRPr="004E50F8">
            <w:rPr>
              <w:rFonts w:ascii="Cambria" w:hAnsi="Cambria" w:cs="Arial"/>
              <w:i/>
              <w:iCs/>
              <w:color w:val="000000"/>
            </w:rPr>
            <w:t>Corporate Social Responsibility</w:t>
          </w:r>
          <w:r w:rsidRPr="004E50F8">
            <w:rPr>
              <w:rFonts w:ascii="Cambria" w:hAnsi="Cambria" w:cs="Arial"/>
              <w:color w:val="000000"/>
            </w:rPr>
            <w:t xml:space="preserve"> PT Pertamina Patra Niaga Depot Pengisian Pesawat Udara Supadio Kabupaten Kubu Raya</w:t>
          </w:r>
        </w:p>
      </w:tc>
    </w:tr>
  </w:tbl>
  <w:p w14:paraId="41655D5D" w14:textId="77777777" w:rsidR="005D3351" w:rsidRPr="00D3008D" w:rsidRDefault="005D3351" w:rsidP="00A7189A">
    <w:pPr>
      <w:pStyle w:val="Header"/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11" w:type="dxa"/>
      <w:jc w:val="center"/>
      <w:tblLook w:val="04A0" w:firstRow="1" w:lastRow="0" w:firstColumn="1" w:lastColumn="0" w:noHBand="0" w:noVBand="1"/>
    </w:tblPr>
    <w:tblGrid>
      <w:gridCol w:w="1985"/>
      <w:gridCol w:w="8026"/>
    </w:tblGrid>
    <w:tr w:rsidR="00F63A74" w:rsidRPr="00157BF2" w14:paraId="1AD14074" w14:textId="77777777" w:rsidTr="00EB6F74">
      <w:trPr>
        <w:trHeight w:val="1757"/>
        <w:jc w:val="center"/>
      </w:trPr>
      <w:tc>
        <w:tcPr>
          <w:tcW w:w="1985" w:type="dxa"/>
          <w:tcBorders>
            <w:bottom w:val="thinThickMediumGap" w:sz="18" w:space="0" w:color="auto"/>
          </w:tcBorders>
          <w:vAlign w:val="center"/>
        </w:tcPr>
        <w:p w14:paraId="5C08C6EC" w14:textId="7569CDDB" w:rsidR="00F63A74" w:rsidRDefault="00EB6F74" w:rsidP="00EB6F74">
          <w:pPr>
            <w:pStyle w:val="Header"/>
            <w:tabs>
              <w:tab w:val="clear" w:pos="4680"/>
              <w:tab w:val="clear" w:pos="9360"/>
              <w:tab w:val="center" w:pos="4252"/>
              <w:tab w:val="right" w:pos="8505"/>
            </w:tabs>
            <w:spacing w:after="0" w:line="240" w:lineRule="auto"/>
            <w:ind w:right="32"/>
            <w:jc w:val="center"/>
            <w:rPr>
              <w:rFonts w:ascii="Cambria" w:hAnsi="Cambria"/>
              <w:b/>
              <w:lang w:val="id-ID"/>
            </w:rPr>
          </w:pPr>
          <w:r>
            <w:rPr>
              <w:rFonts w:ascii="Cambria" w:hAnsi="Cambria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B45C293" wp14:editId="1E4662A9">
                    <wp:simplePos x="0" y="0"/>
                    <wp:positionH relativeFrom="column">
                      <wp:posOffset>1144905</wp:posOffset>
                    </wp:positionH>
                    <wp:positionV relativeFrom="paragraph">
                      <wp:posOffset>76200</wp:posOffset>
                    </wp:positionV>
                    <wp:extent cx="0" cy="935990"/>
                    <wp:effectExtent l="0" t="0" r="19050" b="3556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93599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6803E54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15pt,6pt" to="90.15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" strokecolor="black [3213]" strokeweight="1.5pt">
                    <v:stroke joinstyle="miter"/>
                  </v:line>
                </w:pict>
              </mc:Fallback>
            </mc:AlternateContent>
          </w:r>
          <w:r w:rsidR="00DC092E">
            <w:rPr>
              <w:rFonts w:ascii="Cambria" w:hAnsi="Cambria"/>
              <w:b/>
              <w:noProof/>
            </w:rPr>
            <w:drawing>
              <wp:inline distT="0" distB="0" distL="0" distR="0" wp14:anchorId="770B4F67" wp14:editId="20FE87A2">
                <wp:extent cx="833597" cy="1080000"/>
                <wp:effectExtent l="0" t="0" r="508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over New Polos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3597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6" w:type="dxa"/>
          <w:tcBorders>
            <w:bottom w:val="thinThickMediumGap" w:sz="18" w:space="0" w:color="auto"/>
          </w:tcBorders>
          <w:vAlign w:val="center"/>
        </w:tcPr>
        <w:p w14:paraId="57C42AE4" w14:textId="77777777" w:rsidR="0049596B" w:rsidRPr="00C8512A" w:rsidRDefault="0049596B" w:rsidP="00EB6F74">
          <w:pPr>
            <w:pStyle w:val="Header"/>
            <w:tabs>
              <w:tab w:val="clear" w:pos="4680"/>
              <w:tab w:val="clear" w:pos="9360"/>
              <w:tab w:val="center" w:pos="4252"/>
              <w:tab w:val="right" w:pos="8505"/>
            </w:tabs>
            <w:spacing w:after="0" w:line="240" w:lineRule="auto"/>
            <w:ind w:left="168"/>
            <w:rPr>
              <w:rFonts w:ascii="Berlin Sans FB Demi" w:hAnsi="Berlin Sans FB Demi" w:cs="Calibri"/>
              <w:noProof/>
              <w:color w:val="0070C0"/>
              <w:sz w:val="40"/>
              <w:szCs w:val="28"/>
            </w:rPr>
          </w:pPr>
          <w:r w:rsidRPr="00C8512A">
            <w:rPr>
              <w:rFonts w:ascii="Berlin Sans FB Demi" w:hAnsi="Berlin Sans FB Demi" w:cs="Calibri"/>
              <w:noProof/>
              <w:color w:val="0070C0"/>
              <w:sz w:val="48"/>
              <w:szCs w:val="28"/>
            </w:rPr>
            <w:t>ECODUCATION</w:t>
          </w:r>
        </w:p>
        <w:p w14:paraId="1BAE60E5" w14:textId="77777777" w:rsidR="0049596B" w:rsidRPr="00C8512A" w:rsidRDefault="0049596B" w:rsidP="00EB6F74">
          <w:pPr>
            <w:pStyle w:val="Header"/>
            <w:tabs>
              <w:tab w:val="clear" w:pos="4680"/>
              <w:tab w:val="clear" w:pos="9360"/>
              <w:tab w:val="center" w:pos="4252"/>
              <w:tab w:val="right" w:pos="8505"/>
            </w:tabs>
            <w:spacing w:after="0" w:line="240" w:lineRule="auto"/>
            <w:ind w:left="168"/>
            <w:rPr>
              <w:rFonts w:ascii="Forte" w:hAnsi="Forte"/>
              <w:noProof/>
              <w:color w:val="0070C0"/>
              <w:sz w:val="24"/>
            </w:rPr>
          </w:pPr>
          <w:r w:rsidRPr="00C8512A">
            <w:rPr>
              <w:rFonts w:ascii="Forte" w:hAnsi="Forte"/>
              <w:noProof/>
              <w:color w:val="0070C0"/>
              <w:sz w:val="24"/>
            </w:rPr>
            <w:t>Economics &amp; Education Journal</w:t>
          </w:r>
        </w:p>
        <w:p w14:paraId="0BC7F288" w14:textId="40FCFA97" w:rsidR="0049596B" w:rsidRPr="00C8512A" w:rsidRDefault="0049596B" w:rsidP="00EB6F74">
          <w:pPr>
            <w:pStyle w:val="Header"/>
            <w:tabs>
              <w:tab w:val="clear" w:pos="4680"/>
              <w:tab w:val="clear" w:pos="9360"/>
              <w:tab w:val="center" w:pos="4252"/>
              <w:tab w:val="right" w:pos="8505"/>
            </w:tabs>
            <w:spacing w:after="0" w:line="240" w:lineRule="auto"/>
            <w:ind w:left="168"/>
            <w:rPr>
              <w:rFonts w:cs="Calibri"/>
              <w:b/>
              <w:noProof/>
              <w:color w:val="0070C0"/>
              <w:sz w:val="24"/>
            </w:rPr>
          </w:pPr>
          <w:r w:rsidRPr="00C8512A">
            <w:rPr>
              <w:rFonts w:cs="Calibri"/>
              <w:b/>
              <w:noProof/>
              <w:color w:val="0070C0"/>
              <w:sz w:val="24"/>
            </w:rPr>
            <w:t xml:space="preserve">Volume </w:t>
          </w:r>
          <w:r w:rsidR="00F12F05">
            <w:rPr>
              <w:rFonts w:cs="Calibri"/>
              <w:b/>
              <w:noProof/>
              <w:color w:val="0070C0"/>
              <w:sz w:val="24"/>
            </w:rPr>
            <w:t>7</w:t>
          </w:r>
          <w:r w:rsidRPr="00C8512A">
            <w:rPr>
              <w:rFonts w:cs="Calibri"/>
              <w:b/>
              <w:noProof/>
              <w:color w:val="0070C0"/>
              <w:sz w:val="24"/>
            </w:rPr>
            <w:t xml:space="preserve">, Nomor </w:t>
          </w:r>
          <w:r w:rsidR="00C373B5">
            <w:rPr>
              <w:rFonts w:cs="Calibri"/>
              <w:b/>
              <w:noProof/>
              <w:color w:val="0070C0"/>
              <w:sz w:val="24"/>
            </w:rPr>
            <w:t>3</w:t>
          </w:r>
          <w:r w:rsidRPr="00C8512A">
            <w:rPr>
              <w:rFonts w:cs="Calibri"/>
              <w:b/>
              <w:noProof/>
              <w:color w:val="0070C0"/>
              <w:sz w:val="24"/>
            </w:rPr>
            <w:t xml:space="preserve">, </w:t>
          </w:r>
          <w:r w:rsidR="00C373B5">
            <w:rPr>
              <w:rFonts w:cs="Calibri"/>
              <w:b/>
              <w:noProof/>
              <w:color w:val="0070C0"/>
              <w:sz w:val="24"/>
            </w:rPr>
            <w:t>Desember</w:t>
          </w:r>
          <w:r w:rsidR="00E32C8C">
            <w:rPr>
              <w:rFonts w:cs="Calibri"/>
              <w:b/>
              <w:noProof/>
              <w:color w:val="0070C0"/>
              <w:sz w:val="24"/>
            </w:rPr>
            <w:t xml:space="preserve"> 202</w:t>
          </w:r>
          <w:r w:rsidR="00F12F05">
            <w:rPr>
              <w:rFonts w:cs="Calibri"/>
              <w:b/>
              <w:noProof/>
              <w:color w:val="0070C0"/>
              <w:sz w:val="24"/>
            </w:rPr>
            <w:t>5</w:t>
          </w:r>
        </w:p>
        <w:p w14:paraId="4D10DBE8" w14:textId="60A1DDD0" w:rsidR="00F63A74" w:rsidRPr="0049596B" w:rsidRDefault="0049596B" w:rsidP="00C8512A">
          <w:pPr>
            <w:pStyle w:val="Header"/>
            <w:tabs>
              <w:tab w:val="clear" w:pos="4680"/>
              <w:tab w:val="clear" w:pos="9360"/>
              <w:tab w:val="center" w:pos="4252"/>
              <w:tab w:val="right" w:pos="8505"/>
            </w:tabs>
            <w:spacing w:after="0" w:line="240" w:lineRule="auto"/>
            <w:ind w:left="168"/>
            <w:rPr>
              <w:rFonts w:cs="Calibri"/>
              <w:b/>
              <w:bCs/>
              <w:color w:val="0070C0"/>
              <w:sz w:val="22"/>
              <w:shd w:val="clear" w:color="auto" w:fill="FFFFFF"/>
            </w:rPr>
          </w:pPr>
          <w:r w:rsidRPr="00C8512A">
            <w:rPr>
              <w:rFonts w:cs="Calibri"/>
              <w:b/>
              <w:color w:val="0070C0"/>
              <w:sz w:val="24"/>
              <w:lang w:val="id-ID"/>
            </w:rPr>
            <w:t xml:space="preserve">P-ISSN : </w:t>
          </w:r>
          <w:r w:rsidR="00824A47">
            <w:rPr>
              <w:rStyle w:val="Strong"/>
              <w:rFonts w:cs="Calibri"/>
              <w:color w:val="0070C0"/>
              <w:sz w:val="24"/>
              <w:shd w:val="clear" w:color="auto" w:fill="FFFFFF"/>
            </w:rPr>
            <w:t>2684-6993 (Print),</w:t>
          </w:r>
          <w:r w:rsidRPr="00C8512A">
            <w:rPr>
              <w:rStyle w:val="Strong"/>
              <w:rFonts w:cs="Calibri"/>
              <w:color w:val="0070C0"/>
              <w:sz w:val="24"/>
              <w:shd w:val="clear" w:color="auto" w:fill="FFFFFF"/>
            </w:rPr>
            <w:t xml:space="preserve"> </w:t>
          </w:r>
          <w:r w:rsidRPr="00C8512A">
            <w:rPr>
              <w:rFonts w:cs="Calibri"/>
              <w:b/>
              <w:color w:val="0070C0"/>
              <w:sz w:val="24"/>
              <w:lang w:val="id-ID"/>
            </w:rPr>
            <w:t xml:space="preserve">E-ISSN : </w:t>
          </w:r>
          <w:r w:rsidRPr="00C8512A">
            <w:rPr>
              <w:rStyle w:val="Strong"/>
              <w:rFonts w:cs="Calibri"/>
              <w:color w:val="0070C0"/>
              <w:sz w:val="24"/>
              <w:shd w:val="clear" w:color="auto" w:fill="FFFFFF"/>
            </w:rPr>
            <w:t>2656-5234 (Online)</w:t>
          </w:r>
        </w:p>
      </w:tc>
    </w:tr>
  </w:tbl>
  <w:p w14:paraId="68A26E91" w14:textId="77777777" w:rsidR="00047BD3" w:rsidRPr="00D60433" w:rsidRDefault="00047BD3" w:rsidP="002245FC">
    <w:pPr>
      <w:pStyle w:val="Header"/>
      <w:tabs>
        <w:tab w:val="clear" w:pos="4680"/>
        <w:tab w:val="clear" w:pos="9360"/>
        <w:tab w:val="left" w:pos="2985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F76B83"/>
    <w:multiLevelType w:val="hybridMultilevel"/>
    <w:tmpl w:val="AA621C7E"/>
    <w:styleLink w:val="GayayangDiimpor2"/>
    <w:lvl w:ilvl="0" w:tplc="6BEE23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2AE960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625950">
      <w:start w:val="1"/>
      <w:numFmt w:val="lowerRoman"/>
      <w:lvlText w:val="%3."/>
      <w:lvlJc w:val="left"/>
      <w:pPr>
        <w:ind w:left="2160" w:hanging="3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A87A4E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11CA06C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BECD2C">
      <w:start w:val="1"/>
      <w:numFmt w:val="lowerRoman"/>
      <w:lvlText w:val="%6."/>
      <w:lvlJc w:val="left"/>
      <w:pPr>
        <w:ind w:left="4320" w:hanging="3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543838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B25780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981304">
      <w:start w:val="1"/>
      <w:numFmt w:val="lowerRoman"/>
      <w:lvlText w:val="%9."/>
      <w:lvlJc w:val="left"/>
      <w:pPr>
        <w:ind w:left="6480" w:hanging="3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2A1"/>
    <w:rsid w:val="00000101"/>
    <w:rsid w:val="00001F07"/>
    <w:rsid w:val="00004D88"/>
    <w:rsid w:val="00011B22"/>
    <w:rsid w:val="00013D8E"/>
    <w:rsid w:val="00017239"/>
    <w:rsid w:val="000173E2"/>
    <w:rsid w:val="000207C9"/>
    <w:rsid w:val="00025A2F"/>
    <w:rsid w:val="00025BC2"/>
    <w:rsid w:val="00031686"/>
    <w:rsid w:val="00031DC8"/>
    <w:rsid w:val="00033F89"/>
    <w:rsid w:val="00034E90"/>
    <w:rsid w:val="00047BD3"/>
    <w:rsid w:val="00050CBA"/>
    <w:rsid w:val="000512F6"/>
    <w:rsid w:val="000522CE"/>
    <w:rsid w:val="000551B2"/>
    <w:rsid w:val="00056875"/>
    <w:rsid w:val="00056AC7"/>
    <w:rsid w:val="00066F13"/>
    <w:rsid w:val="00072C8B"/>
    <w:rsid w:val="0008000D"/>
    <w:rsid w:val="00084949"/>
    <w:rsid w:val="00086936"/>
    <w:rsid w:val="00090499"/>
    <w:rsid w:val="000907AF"/>
    <w:rsid w:val="00091C55"/>
    <w:rsid w:val="0009267F"/>
    <w:rsid w:val="000950B9"/>
    <w:rsid w:val="000A01E3"/>
    <w:rsid w:val="000A10ED"/>
    <w:rsid w:val="000A38E3"/>
    <w:rsid w:val="000A53E4"/>
    <w:rsid w:val="000B0196"/>
    <w:rsid w:val="000B3B04"/>
    <w:rsid w:val="000B568E"/>
    <w:rsid w:val="000B6A2D"/>
    <w:rsid w:val="000B7D6E"/>
    <w:rsid w:val="000C1A53"/>
    <w:rsid w:val="000C2E1C"/>
    <w:rsid w:val="000C676A"/>
    <w:rsid w:val="000D2B3E"/>
    <w:rsid w:val="000D2C0D"/>
    <w:rsid w:val="000D7767"/>
    <w:rsid w:val="000E309F"/>
    <w:rsid w:val="000E5227"/>
    <w:rsid w:val="000F3105"/>
    <w:rsid w:val="000F615D"/>
    <w:rsid w:val="00104621"/>
    <w:rsid w:val="00104999"/>
    <w:rsid w:val="00106946"/>
    <w:rsid w:val="00107B0D"/>
    <w:rsid w:val="0011159C"/>
    <w:rsid w:val="0011590F"/>
    <w:rsid w:val="00124907"/>
    <w:rsid w:val="001273BD"/>
    <w:rsid w:val="00130E60"/>
    <w:rsid w:val="001362B8"/>
    <w:rsid w:val="00137328"/>
    <w:rsid w:val="00141721"/>
    <w:rsid w:val="0014719C"/>
    <w:rsid w:val="00147274"/>
    <w:rsid w:val="00157BF2"/>
    <w:rsid w:val="00163285"/>
    <w:rsid w:val="0016350E"/>
    <w:rsid w:val="00167F84"/>
    <w:rsid w:val="00172CB7"/>
    <w:rsid w:val="00173AAD"/>
    <w:rsid w:val="0017717E"/>
    <w:rsid w:val="001813F3"/>
    <w:rsid w:val="001830DE"/>
    <w:rsid w:val="00185894"/>
    <w:rsid w:val="00193936"/>
    <w:rsid w:val="001A11E4"/>
    <w:rsid w:val="001A447A"/>
    <w:rsid w:val="001B12B9"/>
    <w:rsid w:val="001B1DC6"/>
    <w:rsid w:val="001B4EB5"/>
    <w:rsid w:val="001B6E4A"/>
    <w:rsid w:val="001B71F5"/>
    <w:rsid w:val="001B72D9"/>
    <w:rsid w:val="001C42E7"/>
    <w:rsid w:val="001C4451"/>
    <w:rsid w:val="001C5B8C"/>
    <w:rsid w:val="001C772B"/>
    <w:rsid w:val="001D0733"/>
    <w:rsid w:val="001D3A01"/>
    <w:rsid w:val="001D40A3"/>
    <w:rsid w:val="001D43A8"/>
    <w:rsid w:val="001D4806"/>
    <w:rsid w:val="001D6A3C"/>
    <w:rsid w:val="001D7FB6"/>
    <w:rsid w:val="001E1186"/>
    <w:rsid w:val="001E23A6"/>
    <w:rsid w:val="001E6C11"/>
    <w:rsid w:val="001F4465"/>
    <w:rsid w:val="001F6307"/>
    <w:rsid w:val="001F6477"/>
    <w:rsid w:val="001F7F78"/>
    <w:rsid w:val="00200FC7"/>
    <w:rsid w:val="0020232C"/>
    <w:rsid w:val="00204C3F"/>
    <w:rsid w:val="002057C7"/>
    <w:rsid w:val="002064FE"/>
    <w:rsid w:val="00207221"/>
    <w:rsid w:val="00216476"/>
    <w:rsid w:val="002217DD"/>
    <w:rsid w:val="0022370A"/>
    <w:rsid w:val="002245FC"/>
    <w:rsid w:val="002276BE"/>
    <w:rsid w:val="00231BB1"/>
    <w:rsid w:val="00234A1B"/>
    <w:rsid w:val="00236CD5"/>
    <w:rsid w:val="002438B3"/>
    <w:rsid w:val="00244F5F"/>
    <w:rsid w:val="00247B06"/>
    <w:rsid w:val="00247FED"/>
    <w:rsid w:val="00262C28"/>
    <w:rsid w:val="00265B6E"/>
    <w:rsid w:val="0027311C"/>
    <w:rsid w:val="002736A1"/>
    <w:rsid w:val="00274B84"/>
    <w:rsid w:val="00275376"/>
    <w:rsid w:val="00277DF3"/>
    <w:rsid w:val="00283F4B"/>
    <w:rsid w:val="00286B05"/>
    <w:rsid w:val="00291948"/>
    <w:rsid w:val="00297C0A"/>
    <w:rsid w:val="002A3428"/>
    <w:rsid w:val="002A7C12"/>
    <w:rsid w:val="002B0D6D"/>
    <w:rsid w:val="002B22F5"/>
    <w:rsid w:val="002B3D72"/>
    <w:rsid w:val="002B49EB"/>
    <w:rsid w:val="002B52D8"/>
    <w:rsid w:val="002D49BA"/>
    <w:rsid w:val="002D51FA"/>
    <w:rsid w:val="002D6F60"/>
    <w:rsid w:val="002E3AD5"/>
    <w:rsid w:val="002E3DC6"/>
    <w:rsid w:val="002E7726"/>
    <w:rsid w:val="002F12D4"/>
    <w:rsid w:val="002F1CBA"/>
    <w:rsid w:val="003000A6"/>
    <w:rsid w:val="00306C49"/>
    <w:rsid w:val="0030716A"/>
    <w:rsid w:val="00310869"/>
    <w:rsid w:val="00314D15"/>
    <w:rsid w:val="0032235B"/>
    <w:rsid w:val="00325F43"/>
    <w:rsid w:val="00330551"/>
    <w:rsid w:val="00335994"/>
    <w:rsid w:val="0033744E"/>
    <w:rsid w:val="003459AE"/>
    <w:rsid w:val="00346061"/>
    <w:rsid w:val="00351D8F"/>
    <w:rsid w:val="00352A48"/>
    <w:rsid w:val="00354767"/>
    <w:rsid w:val="003575DF"/>
    <w:rsid w:val="00361A07"/>
    <w:rsid w:val="00365012"/>
    <w:rsid w:val="00367A3E"/>
    <w:rsid w:val="00367ECD"/>
    <w:rsid w:val="00374822"/>
    <w:rsid w:val="00375AA1"/>
    <w:rsid w:val="00394BBD"/>
    <w:rsid w:val="00395C47"/>
    <w:rsid w:val="00396F48"/>
    <w:rsid w:val="003A1C00"/>
    <w:rsid w:val="003A1FB2"/>
    <w:rsid w:val="003A7AC2"/>
    <w:rsid w:val="003B1168"/>
    <w:rsid w:val="003B39B9"/>
    <w:rsid w:val="003B3D44"/>
    <w:rsid w:val="003B3D86"/>
    <w:rsid w:val="003B5A1A"/>
    <w:rsid w:val="003C6B7E"/>
    <w:rsid w:val="003D009C"/>
    <w:rsid w:val="003D1B62"/>
    <w:rsid w:val="003D2154"/>
    <w:rsid w:val="003D3012"/>
    <w:rsid w:val="003E2048"/>
    <w:rsid w:val="003E4489"/>
    <w:rsid w:val="003F22D5"/>
    <w:rsid w:val="003F740A"/>
    <w:rsid w:val="0040732B"/>
    <w:rsid w:val="00411EDA"/>
    <w:rsid w:val="0041366A"/>
    <w:rsid w:val="00413E14"/>
    <w:rsid w:val="0041762D"/>
    <w:rsid w:val="00420885"/>
    <w:rsid w:val="004215AE"/>
    <w:rsid w:val="00431FA3"/>
    <w:rsid w:val="00434105"/>
    <w:rsid w:val="00435450"/>
    <w:rsid w:val="00440968"/>
    <w:rsid w:val="004431DB"/>
    <w:rsid w:val="004442D6"/>
    <w:rsid w:val="004544C6"/>
    <w:rsid w:val="00457914"/>
    <w:rsid w:val="00457946"/>
    <w:rsid w:val="00460C49"/>
    <w:rsid w:val="004703AD"/>
    <w:rsid w:val="00473EE4"/>
    <w:rsid w:val="004741B2"/>
    <w:rsid w:val="0047656F"/>
    <w:rsid w:val="00476D18"/>
    <w:rsid w:val="00481380"/>
    <w:rsid w:val="00487B5E"/>
    <w:rsid w:val="00491139"/>
    <w:rsid w:val="00492C92"/>
    <w:rsid w:val="00494DDC"/>
    <w:rsid w:val="0049596B"/>
    <w:rsid w:val="004A4406"/>
    <w:rsid w:val="004A45CA"/>
    <w:rsid w:val="004A5113"/>
    <w:rsid w:val="004A7FA8"/>
    <w:rsid w:val="004B0F3F"/>
    <w:rsid w:val="004B36BC"/>
    <w:rsid w:val="004B5090"/>
    <w:rsid w:val="004B673C"/>
    <w:rsid w:val="004C17DE"/>
    <w:rsid w:val="004D1CDD"/>
    <w:rsid w:val="004D25A1"/>
    <w:rsid w:val="004E50F8"/>
    <w:rsid w:val="004E5B78"/>
    <w:rsid w:val="00500402"/>
    <w:rsid w:val="0050376B"/>
    <w:rsid w:val="0050780E"/>
    <w:rsid w:val="005118DC"/>
    <w:rsid w:val="00511C7F"/>
    <w:rsid w:val="00516F5A"/>
    <w:rsid w:val="00520440"/>
    <w:rsid w:val="00521B8C"/>
    <w:rsid w:val="005234D6"/>
    <w:rsid w:val="00525CDD"/>
    <w:rsid w:val="00526BE5"/>
    <w:rsid w:val="0054240A"/>
    <w:rsid w:val="00542BB5"/>
    <w:rsid w:val="005440FE"/>
    <w:rsid w:val="00547E0F"/>
    <w:rsid w:val="00551821"/>
    <w:rsid w:val="005524F7"/>
    <w:rsid w:val="005614A2"/>
    <w:rsid w:val="00565B8E"/>
    <w:rsid w:val="005729FD"/>
    <w:rsid w:val="005924E4"/>
    <w:rsid w:val="005A3531"/>
    <w:rsid w:val="005A3A7F"/>
    <w:rsid w:val="005B173D"/>
    <w:rsid w:val="005B3A12"/>
    <w:rsid w:val="005B7C3D"/>
    <w:rsid w:val="005C40A4"/>
    <w:rsid w:val="005D3351"/>
    <w:rsid w:val="005E6353"/>
    <w:rsid w:val="005F0EE0"/>
    <w:rsid w:val="005F4787"/>
    <w:rsid w:val="00600197"/>
    <w:rsid w:val="00601017"/>
    <w:rsid w:val="006049D9"/>
    <w:rsid w:val="00604CAF"/>
    <w:rsid w:val="006120DA"/>
    <w:rsid w:val="006126B9"/>
    <w:rsid w:val="006151D9"/>
    <w:rsid w:val="00615599"/>
    <w:rsid w:val="0063257A"/>
    <w:rsid w:val="00636481"/>
    <w:rsid w:val="00642EF5"/>
    <w:rsid w:val="006449D7"/>
    <w:rsid w:val="00645465"/>
    <w:rsid w:val="006526A7"/>
    <w:rsid w:val="00654980"/>
    <w:rsid w:val="006628DB"/>
    <w:rsid w:val="006643D3"/>
    <w:rsid w:val="00674829"/>
    <w:rsid w:val="00674870"/>
    <w:rsid w:val="0067719C"/>
    <w:rsid w:val="00681354"/>
    <w:rsid w:val="00681C93"/>
    <w:rsid w:val="00685771"/>
    <w:rsid w:val="00687345"/>
    <w:rsid w:val="006923E3"/>
    <w:rsid w:val="006925A3"/>
    <w:rsid w:val="00692A84"/>
    <w:rsid w:val="00693360"/>
    <w:rsid w:val="006A0DFD"/>
    <w:rsid w:val="006A3AA9"/>
    <w:rsid w:val="006A3F24"/>
    <w:rsid w:val="006A7C66"/>
    <w:rsid w:val="006B14DE"/>
    <w:rsid w:val="006B3350"/>
    <w:rsid w:val="006B3CDF"/>
    <w:rsid w:val="006B3F8E"/>
    <w:rsid w:val="006B5133"/>
    <w:rsid w:val="006B67C6"/>
    <w:rsid w:val="006B68E5"/>
    <w:rsid w:val="006C2778"/>
    <w:rsid w:val="006D3BD6"/>
    <w:rsid w:val="006D3C26"/>
    <w:rsid w:val="006D4264"/>
    <w:rsid w:val="006D5CC0"/>
    <w:rsid w:val="006E6B88"/>
    <w:rsid w:val="006E779A"/>
    <w:rsid w:val="006F0D80"/>
    <w:rsid w:val="006F3FB5"/>
    <w:rsid w:val="006F5C34"/>
    <w:rsid w:val="006F60D0"/>
    <w:rsid w:val="0070096C"/>
    <w:rsid w:val="00707843"/>
    <w:rsid w:val="007152D0"/>
    <w:rsid w:val="00726D57"/>
    <w:rsid w:val="00730F6B"/>
    <w:rsid w:val="00732CD8"/>
    <w:rsid w:val="00733221"/>
    <w:rsid w:val="00734F9E"/>
    <w:rsid w:val="00740468"/>
    <w:rsid w:val="007429F3"/>
    <w:rsid w:val="00742F26"/>
    <w:rsid w:val="00757A0C"/>
    <w:rsid w:val="007605C9"/>
    <w:rsid w:val="007609F0"/>
    <w:rsid w:val="00760F5A"/>
    <w:rsid w:val="00764801"/>
    <w:rsid w:val="00765307"/>
    <w:rsid w:val="00765884"/>
    <w:rsid w:val="00772134"/>
    <w:rsid w:val="0077434A"/>
    <w:rsid w:val="00777750"/>
    <w:rsid w:val="00782909"/>
    <w:rsid w:val="007851C0"/>
    <w:rsid w:val="0078679A"/>
    <w:rsid w:val="00790656"/>
    <w:rsid w:val="00790A76"/>
    <w:rsid w:val="007914E9"/>
    <w:rsid w:val="00792CC2"/>
    <w:rsid w:val="00795CF7"/>
    <w:rsid w:val="007A2564"/>
    <w:rsid w:val="007A2A77"/>
    <w:rsid w:val="007A3A1F"/>
    <w:rsid w:val="007A4BCA"/>
    <w:rsid w:val="007A6791"/>
    <w:rsid w:val="007B41CC"/>
    <w:rsid w:val="007B6302"/>
    <w:rsid w:val="007C09D9"/>
    <w:rsid w:val="007C3554"/>
    <w:rsid w:val="007C52B4"/>
    <w:rsid w:val="007C56B3"/>
    <w:rsid w:val="007D0395"/>
    <w:rsid w:val="007D25F2"/>
    <w:rsid w:val="007E1918"/>
    <w:rsid w:val="007E5CB4"/>
    <w:rsid w:val="00810314"/>
    <w:rsid w:val="0081147B"/>
    <w:rsid w:val="00811626"/>
    <w:rsid w:val="00813364"/>
    <w:rsid w:val="00816A83"/>
    <w:rsid w:val="008178DF"/>
    <w:rsid w:val="00824A47"/>
    <w:rsid w:val="00825B16"/>
    <w:rsid w:val="0082619F"/>
    <w:rsid w:val="00840B14"/>
    <w:rsid w:val="00840B84"/>
    <w:rsid w:val="0084117F"/>
    <w:rsid w:val="008417ED"/>
    <w:rsid w:val="008455FC"/>
    <w:rsid w:val="00857819"/>
    <w:rsid w:val="00861DEA"/>
    <w:rsid w:val="00864EC0"/>
    <w:rsid w:val="00865FE3"/>
    <w:rsid w:val="008769F5"/>
    <w:rsid w:val="00880531"/>
    <w:rsid w:val="00882320"/>
    <w:rsid w:val="00886033"/>
    <w:rsid w:val="00890BFD"/>
    <w:rsid w:val="00892075"/>
    <w:rsid w:val="008A345B"/>
    <w:rsid w:val="008A3C74"/>
    <w:rsid w:val="008A456C"/>
    <w:rsid w:val="008A63E8"/>
    <w:rsid w:val="008A6708"/>
    <w:rsid w:val="008B32CC"/>
    <w:rsid w:val="008B6743"/>
    <w:rsid w:val="008C1733"/>
    <w:rsid w:val="008C3FC4"/>
    <w:rsid w:val="008C5EF5"/>
    <w:rsid w:val="008D28F9"/>
    <w:rsid w:val="008D519F"/>
    <w:rsid w:val="008D5ADE"/>
    <w:rsid w:val="008D6093"/>
    <w:rsid w:val="008E4995"/>
    <w:rsid w:val="008F2509"/>
    <w:rsid w:val="00900AD7"/>
    <w:rsid w:val="00902090"/>
    <w:rsid w:val="009029D6"/>
    <w:rsid w:val="00907771"/>
    <w:rsid w:val="00916F07"/>
    <w:rsid w:val="00922D2E"/>
    <w:rsid w:val="0093009E"/>
    <w:rsid w:val="00931A92"/>
    <w:rsid w:val="0093275E"/>
    <w:rsid w:val="00934B6F"/>
    <w:rsid w:val="00936A43"/>
    <w:rsid w:val="009371D7"/>
    <w:rsid w:val="00940FE2"/>
    <w:rsid w:val="00941B74"/>
    <w:rsid w:val="00952B9A"/>
    <w:rsid w:val="00955996"/>
    <w:rsid w:val="00956310"/>
    <w:rsid w:val="00957199"/>
    <w:rsid w:val="009577E5"/>
    <w:rsid w:val="00961880"/>
    <w:rsid w:val="0096289D"/>
    <w:rsid w:val="00963F26"/>
    <w:rsid w:val="00965423"/>
    <w:rsid w:val="00966C12"/>
    <w:rsid w:val="00974314"/>
    <w:rsid w:val="00976572"/>
    <w:rsid w:val="00981465"/>
    <w:rsid w:val="00981797"/>
    <w:rsid w:val="0098429F"/>
    <w:rsid w:val="00984932"/>
    <w:rsid w:val="00985451"/>
    <w:rsid w:val="00993CB5"/>
    <w:rsid w:val="00997FAB"/>
    <w:rsid w:val="009A1018"/>
    <w:rsid w:val="009A2598"/>
    <w:rsid w:val="009A2C0E"/>
    <w:rsid w:val="009A5A56"/>
    <w:rsid w:val="009A6B23"/>
    <w:rsid w:val="009B0BF3"/>
    <w:rsid w:val="009B17EC"/>
    <w:rsid w:val="009B3F2A"/>
    <w:rsid w:val="009B5115"/>
    <w:rsid w:val="009B6A5C"/>
    <w:rsid w:val="009B6F54"/>
    <w:rsid w:val="009C1A2C"/>
    <w:rsid w:val="009C1E4A"/>
    <w:rsid w:val="009D0072"/>
    <w:rsid w:val="009D256C"/>
    <w:rsid w:val="009D53F8"/>
    <w:rsid w:val="009E070C"/>
    <w:rsid w:val="009F27CC"/>
    <w:rsid w:val="00A00C69"/>
    <w:rsid w:val="00A011ED"/>
    <w:rsid w:val="00A0193E"/>
    <w:rsid w:val="00A02781"/>
    <w:rsid w:val="00A11DC0"/>
    <w:rsid w:val="00A1447F"/>
    <w:rsid w:val="00A16E2D"/>
    <w:rsid w:val="00A20E9F"/>
    <w:rsid w:val="00A2292E"/>
    <w:rsid w:val="00A2419C"/>
    <w:rsid w:val="00A24FF8"/>
    <w:rsid w:val="00A3017C"/>
    <w:rsid w:val="00A32BB3"/>
    <w:rsid w:val="00A41504"/>
    <w:rsid w:val="00A467FC"/>
    <w:rsid w:val="00A501F8"/>
    <w:rsid w:val="00A54570"/>
    <w:rsid w:val="00A655D0"/>
    <w:rsid w:val="00A7039D"/>
    <w:rsid w:val="00A7189A"/>
    <w:rsid w:val="00A7375F"/>
    <w:rsid w:val="00A77E5B"/>
    <w:rsid w:val="00A858D7"/>
    <w:rsid w:val="00A87759"/>
    <w:rsid w:val="00A90076"/>
    <w:rsid w:val="00A93384"/>
    <w:rsid w:val="00A95629"/>
    <w:rsid w:val="00A974AF"/>
    <w:rsid w:val="00AA1F7B"/>
    <w:rsid w:val="00AA2043"/>
    <w:rsid w:val="00AA4F65"/>
    <w:rsid w:val="00AB782A"/>
    <w:rsid w:val="00AC2457"/>
    <w:rsid w:val="00AC4232"/>
    <w:rsid w:val="00AC5B13"/>
    <w:rsid w:val="00AC5CA1"/>
    <w:rsid w:val="00AC62FD"/>
    <w:rsid w:val="00AE1D3D"/>
    <w:rsid w:val="00AE7783"/>
    <w:rsid w:val="00AF2F67"/>
    <w:rsid w:val="00AF6205"/>
    <w:rsid w:val="00AF70A5"/>
    <w:rsid w:val="00AF7D0E"/>
    <w:rsid w:val="00B05E5A"/>
    <w:rsid w:val="00B13AF3"/>
    <w:rsid w:val="00B15172"/>
    <w:rsid w:val="00B1711D"/>
    <w:rsid w:val="00B17502"/>
    <w:rsid w:val="00B20A16"/>
    <w:rsid w:val="00B22CCC"/>
    <w:rsid w:val="00B25D2F"/>
    <w:rsid w:val="00B30FFB"/>
    <w:rsid w:val="00B314C4"/>
    <w:rsid w:val="00B31CB1"/>
    <w:rsid w:val="00B33419"/>
    <w:rsid w:val="00B34C4B"/>
    <w:rsid w:val="00B4324D"/>
    <w:rsid w:val="00B43E56"/>
    <w:rsid w:val="00B45BD0"/>
    <w:rsid w:val="00B477E7"/>
    <w:rsid w:val="00B47AA2"/>
    <w:rsid w:val="00B54914"/>
    <w:rsid w:val="00B54F9E"/>
    <w:rsid w:val="00B563AA"/>
    <w:rsid w:val="00B57413"/>
    <w:rsid w:val="00B61635"/>
    <w:rsid w:val="00B61775"/>
    <w:rsid w:val="00B62306"/>
    <w:rsid w:val="00B71DC0"/>
    <w:rsid w:val="00B856E2"/>
    <w:rsid w:val="00BA0295"/>
    <w:rsid w:val="00BA21BE"/>
    <w:rsid w:val="00BA6A82"/>
    <w:rsid w:val="00BB03FC"/>
    <w:rsid w:val="00BB16BC"/>
    <w:rsid w:val="00BC02B7"/>
    <w:rsid w:val="00BC032D"/>
    <w:rsid w:val="00BC57A2"/>
    <w:rsid w:val="00BC57C6"/>
    <w:rsid w:val="00BC6290"/>
    <w:rsid w:val="00BD4D25"/>
    <w:rsid w:val="00BD5A9B"/>
    <w:rsid w:val="00BD726D"/>
    <w:rsid w:val="00BF559D"/>
    <w:rsid w:val="00C024F1"/>
    <w:rsid w:val="00C038AE"/>
    <w:rsid w:val="00C13697"/>
    <w:rsid w:val="00C1743F"/>
    <w:rsid w:val="00C205A5"/>
    <w:rsid w:val="00C222FC"/>
    <w:rsid w:val="00C224E7"/>
    <w:rsid w:val="00C23FC2"/>
    <w:rsid w:val="00C265F1"/>
    <w:rsid w:val="00C3434D"/>
    <w:rsid w:val="00C35201"/>
    <w:rsid w:val="00C373B5"/>
    <w:rsid w:val="00C40F50"/>
    <w:rsid w:val="00C45C05"/>
    <w:rsid w:val="00C45DBD"/>
    <w:rsid w:val="00C465C1"/>
    <w:rsid w:val="00C46B6A"/>
    <w:rsid w:val="00C537D1"/>
    <w:rsid w:val="00C64C01"/>
    <w:rsid w:val="00C71BD1"/>
    <w:rsid w:val="00C725E5"/>
    <w:rsid w:val="00C73C02"/>
    <w:rsid w:val="00C75534"/>
    <w:rsid w:val="00C768F2"/>
    <w:rsid w:val="00C77764"/>
    <w:rsid w:val="00C80DA0"/>
    <w:rsid w:val="00C84225"/>
    <w:rsid w:val="00C843F1"/>
    <w:rsid w:val="00C8512A"/>
    <w:rsid w:val="00C8674F"/>
    <w:rsid w:val="00C91E2C"/>
    <w:rsid w:val="00C95552"/>
    <w:rsid w:val="00C95FEE"/>
    <w:rsid w:val="00CA635B"/>
    <w:rsid w:val="00CA7895"/>
    <w:rsid w:val="00CB3C4C"/>
    <w:rsid w:val="00CC02D4"/>
    <w:rsid w:val="00CC04AB"/>
    <w:rsid w:val="00CC499C"/>
    <w:rsid w:val="00CC6FA5"/>
    <w:rsid w:val="00CD478E"/>
    <w:rsid w:val="00CD6833"/>
    <w:rsid w:val="00CE3BA1"/>
    <w:rsid w:val="00CE404C"/>
    <w:rsid w:val="00CE64C2"/>
    <w:rsid w:val="00CF0FF0"/>
    <w:rsid w:val="00CF2162"/>
    <w:rsid w:val="00D1501B"/>
    <w:rsid w:val="00D15862"/>
    <w:rsid w:val="00D17E4D"/>
    <w:rsid w:val="00D20EC5"/>
    <w:rsid w:val="00D257D6"/>
    <w:rsid w:val="00D26307"/>
    <w:rsid w:val="00D26672"/>
    <w:rsid w:val="00D2692A"/>
    <w:rsid w:val="00D27190"/>
    <w:rsid w:val="00D3008D"/>
    <w:rsid w:val="00D35CE2"/>
    <w:rsid w:val="00D369ED"/>
    <w:rsid w:val="00D41B49"/>
    <w:rsid w:val="00D60433"/>
    <w:rsid w:val="00D62831"/>
    <w:rsid w:val="00D646EF"/>
    <w:rsid w:val="00D70A1C"/>
    <w:rsid w:val="00D750A3"/>
    <w:rsid w:val="00D755CE"/>
    <w:rsid w:val="00D76099"/>
    <w:rsid w:val="00D848B5"/>
    <w:rsid w:val="00D8613D"/>
    <w:rsid w:val="00D86A4A"/>
    <w:rsid w:val="00D942FF"/>
    <w:rsid w:val="00D947C2"/>
    <w:rsid w:val="00DA29E3"/>
    <w:rsid w:val="00DB0574"/>
    <w:rsid w:val="00DB0599"/>
    <w:rsid w:val="00DB0DD2"/>
    <w:rsid w:val="00DB1452"/>
    <w:rsid w:val="00DB17E5"/>
    <w:rsid w:val="00DB2041"/>
    <w:rsid w:val="00DC092E"/>
    <w:rsid w:val="00DC1C9D"/>
    <w:rsid w:val="00DC1CBC"/>
    <w:rsid w:val="00DC45E2"/>
    <w:rsid w:val="00DD0657"/>
    <w:rsid w:val="00DF1302"/>
    <w:rsid w:val="00DF5369"/>
    <w:rsid w:val="00E04F43"/>
    <w:rsid w:val="00E06CC8"/>
    <w:rsid w:val="00E17A60"/>
    <w:rsid w:val="00E24C00"/>
    <w:rsid w:val="00E27F6C"/>
    <w:rsid w:val="00E32C8C"/>
    <w:rsid w:val="00E37F12"/>
    <w:rsid w:val="00E41183"/>
    <w:rsid w:val="00E43FB3"/>
    <w:rsid w:val="00E445FF"/>
    <w:rsid w:val="00E50877"/>
    <w:rsid w:val="00E61A4E"/>
    <w:rsid w:val="00E6281A"/>
    <w:rsid w:val="00E7756C"/>
    <w:rsid w:val="00E82A5B"/>
    <w:rsid w:val="00E838A7"/>
    <w:rsid w:val="00E925BE"/>
    <w:rsid w:val="00E93B96"/>
    <w:rsid w:val="00EA616E"/>
    <w:rsid w:val="00EB0A20"/>
    <w:rsid w:val="00EB0EC8"/>
    <w:rsid w:val="00EB1A9F"/>
    <w:rsid w:val="00EB6F74"/>
    <w:rsid w:val="00EC5E8D"/>
    <w:rsid w:val="00ED1C05"/>
    <w:rsid w:val="00ED7611"/>
    <w:rsid w:val="00EF0359"/>
    <w:rsid w:val="00EF13B3"/>
    <w:rsid w:val="00EF1938"/>
    <w:rsid w:val="00F01FBA"/>
    <w:rsid w:val="00F12F05"/>
    <w:rsid w:val="00F25532"/>
    <w:rsid w:val="00F36360"/>
    <w:rsid w:val="00F40126"/>
    <w:rsid w:val="00F40284"/>
    <w:rsid w:val="00F416EC"/>
    <w:rsid w:val="00F428BA"/>
    <w:rsid w:val="00F43666"/>
    <w:rsid w:val="00F46153"/>
    <w:rsid w:val="00F500CF"/>
    <w:rsid w:val="00F53B55"/>
    <w:rsid w:val="00F54DB1"/>
    <w:rsid w:val="00F558AB"/>
    <w:rsid w:val="00F61977"/>
    <w:rsid w:val="00F63A74"/>
    <w:rsid w:val="00F6559A"/>
    <w:rsid w:val="00F66598"/>
    <w:rsid w:val="00F71AF2"/>
    <w:rsid w:val="00F76E4E"/>
    <w:rsid w:val="00F80B11"/>
    <w:rsid w:val="00F81DEC"/>
    <w:rsid w:val="00F83130"/>
    <w:rsid w:val="00F85B47"/>
    <w:rsid w:val="00F861EC"/>
    <w:rsid w:val="00F86879"/>
    <w:rsid w:val="00F912A1"/>
    <w:rsid w:val="00F9798E"/>
    <w:rsid w:val="00FA0F3D"/>
    <w:rsid w:val="00FA4241"/>
    <w:rsid w:val="00FA453D"/>
    <w:rsid w:val="00FA6881"/>
    <w:rsid w:val="00FB5B62"/>
    <w:rsid w:val="00FD24B8"/>
    <w:rsid w:val="00FD6907"/>
    <w:rsid w:val="00FE1242"/>
    <w:rsid w:val="00FE35DF"/>
    <w:rsid w:val="00FE55F0"/>
    <w:rsid w:val="00FF11B1"/>
    <w:rsid w:val="00FF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6E07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53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73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73E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2A1"/>
    <w:rPr>
      <w:color w:val="0000FF"/>
      <w:u w:val="single"/>
    </w:rPr>
  </w:style>
  <w:style w:type="paragraph" w:styleId="ListParagraph">
    <w:name w:val="List Paragraph"/>
    <w:aliases w:val="Body of text,Body of textCxSp,Medium Grid 1 - Accent 21,Body of text+1,Body of text+2,Body of text+3,List Paragraph11,List Paragraph1,Colorful List - Accent 11,HEADING 1,soal jawab,Heading 11,Heading 12,List Paragraph111,Daftar Paragraf"/>
    <w:basedOn w:val="Normal"/>
    <w:link w:val="ListParagraphChar"/>
    <w:uiPriority w:val="34"/>
    <w:qFormat/>
    <w:rsid w:val="00F912A1"/>
    <w:pPr>
      <w:ind w:left="720"/>
      <w:contextualSpacing/>
    </w:pPr>
    <w:rPr>
      <w:lang w:val="id-ID"/>
    </w:rPr>
  </w:style>
  <w:style w:type="paragraph" w:customStyle="1" w:styleId="Default">
    <w:name w:val="Default"/>
    <w:rsid w:val="00F912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B25D2F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B25D2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75AA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5AA1"/>
    <w:rPr>
      <w:sz w:val="22"/>
      <w:szCs w:val="22"/>
    </w:rPr>
  </w:style>
  <w:style w:type="character" w:customStyle="1" w:styleId="Heading3Char">
    <w:name w:val="Heading 3 Char"/>
    <w:link w:val="Heading3"/>
    <w:uiPriority w:val="9"/>
    <w:rsid w:val="00473EE4"/>
    <w:rPr>
      <w:rFonts w:ascii="Times New Roman" w:eastAsia="Times New Roman" w:hAnsi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0DA"/>
    <w:pPr>
      <w:spacing w:after="0" w:line="240" w:lineRule="auto"/>
    </w:pPr>
    <w:rPr>
      <w:rFonts w:ascii="Tahoma" w:hAnsi="Tahoma"/>
      <w:noProof/>
      <w:sz w:val="16"/>
      <w:szCs w:val="16"/>
      <w:lang w:val="id-ID"/>
    </w:rPr>
  </w:style>
  <w:style w:type="character" w:customStyle="1" w:styleId="BalloonTextChar">
    <w:name w:val="Balloon Text Char"/>
    <w:link w:val="BalloonText"/>
    <w:uiPriority w:val="99"/>
    <w:semiHidden/>
    <w:rsid w:val="006120DA"/>
    <w:rPr>
      <w:rFonts w:ascii="Tahoma" w:hAnsi="Tahoma" w:cs="Tahoma"/>
      <w:noProof/>
      <w:sz w:val="16"/>
      <w:szCs w:val="16"/>
      <w:lang w:val="id-ID"/>
    </w:rPr>
  </w:style>
  <w:style w:type="paragraph" w:customStyle="1" w:styleId="B7A3AA4F82F84F2E8D122C3B6DBBE8C9">
    <w:name w:val="B7A3AA4F82F84F2E8D122C3B6DBBE8C9"/>
    <w:rsid w:val="00283F4B"/>
    <w:pPr>
      <w:spacing w:after="200" w:line="276" w:lineRule="auto"/>
    </w:pPr>
    <w:rPr>
      <w:rFonts w:eastAsia="Times New Roman"/>
      <w:sz w:val="22"/>
      <w:szCs w:val="22"/>
    </w:rPr>
  </w:style>
  <w:style w:type="table" w:styleId="TableGrid">
    <w:name w:val="Table Grid"/>
    <w:basedOn w:val="TableNormal"/>
    <w:qFormat/>
    <w:rsid w:val="00D271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D27190"/>
    <w:rPr>
      <w:b/>
      <w:bCs/>
    </w:rPr>
  </w:style>
  <w:style w:type="paragraph" w:styleId="BodyTextIndent">
    <w:name w:val="Body Text Indent"/>
    <w:basedOn w:val="Normal"/>
    <w:link w:val="BodyTextIndentChar"/>
    <w:uiPriority w:val="99"/>
    <w:unhideWhenUsed/>
    <w:rsid w:val="00DB0599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DB0599"/>
    <w:rPr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DB059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DB0599"/>
  </w:style>
  <w:style w:type="character" w:styleId="Emphasis">
    <w:name w:val="Emphasis"/>
    <w:uiPriority w:val="20"/>
    <w:qFormat/>
    <w:rsid w:val="00DB059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842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C84225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66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F1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66F1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F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6F13"/>
    <w:rPr>
      <w:b/>
      <w:bCs/>
      <w:lang w:val="en-US" w:eastAsia="en-US"/>
    </w:rPr>
  </w:style>
  <w:style w:type="paragraph" w:styleId="NoSpacing">
    <w:name w:val="No Spacing"/>
    <w:uiPriority w:val="1"/>
    <w:qFormat/>
    <w:rsid w:val="001D4806"/>
    <w:rPr>
      <w:rFonts w:ascii="Arial" w:hAnsi="Arial" w:cs="Arial"/>
      <w:sz w:val="22"/>
      <w:szCs w:val="22"/>
      <w:lang w:val="id-ID"/>
    </w:rPr>
  </w:style>
  <w:style w:type="character" w:customStyle="1" w:styleId="UnresolvedMention1">
    <w:name w:val="Unresolved Mention1"/>
    <w:uiPriority w:val="99"/>
    <w:semiHidden/>
    <w:unhideWhenUsed/>
    <w:rsid w:val="00C77764"/>
    <w:rPr>
      <w:color w:val="605E5C"/>
      <w:shd w:val="clear" w:color="auto" w:fill="E1DFDD"/>
    </w:rPr>
  </w:style>
  <w:style w:type="character" w:customStyle="1" w:styleId="ListParagraphChar">
    <w:name w:val="List Paragraph Char"/>
    <w:aliases w:val="Body of text Char,Body of textCxSp Char,Medium Grid 1 - Accent 21 Char,Body of text+1 Char,Body of text+2 Char,Body of text+3 Char,List Paragraph11 Char,List Paragraph1 Char,Colorful List - Accent 11 Char,HEADING 1 Char"/>
    <w:link w:val="ListParagraph"/>
    <w:uiPriority w:val="34"/>
    <w:qFormat/>
    <w:locked/>
    <w:rsid w:val="00765307"/>
    <w:rPr>
      <w:sz w:val="22"/>
      <w:szCs w:val="22"/>
      <w:lang w:val="id-ID"/>
    </w:rPr>
  </w:style>
  <w:style w:type="table" w:customStyle="1" w:styleId="PlainTable21">
    <w:name w:val="Plain Table 21"/>
    <w:basedOn w:val="TableNormal"/>
    <w:uiPriority w:val="42"/>
    <w:rsid w:val="00765307"/>
    <w:rPr>
      <w:rFonts w:cs="Arial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6126B9"/>
    <w:pPr>
      <w:jc w:val="both"/>
    </w:pPr>
    <w:rPr>
      <w:rFonts w:ascii="Times New Roman" w:eastAsia="SimSun" w:hAnsi="Times New Roman"/>
      <w:kern w:val="2"/>
      <w:sz w:val="21"/>
      <w:szCs w:val="20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7D25F2"/>
    <w:rPr>
      <w:b/>
      <w:bCs/>
      <w:sz w:val="20"/>
      <w:szCs w:val="20"/>
    </w:rPr>
  </w:style>
  <w:style w:type="paragraph" w:customStyle="1" w:styleId="Ventura-Content">
    <w:name w:val="Ventura-Content"/>
    <w:basedOn w:val="Normal"/>
    <w:link w:val="Ventura-ContentChar"/>
    <w:rsid w:val="00565B8E"/>
    <w:pPr>
      <w:widowControl w:val="0"/>
      <w:tabs>
        <w:tab w:val="left" w:pos="0"/>
      </w:tabs>
      <w:spacing w:after="0" w:line="240" w:lineRule="auto"/>
      <w:ind w:firstLine="397"/>
      <w:contextualSpacing/>
      <w:jc w:val="both"/>
    </w:pPr>
    <w:rPr>
      <w:rFonts w:ascii="Book Antiqua" w:eastAsia="Times New Roman" w:hAnsi="Book Antiqua"/>
      <w:sz w:val="20"/>
      <w:szCs w:val="24"/>
    </w:rPr>
  </w:style>
  <w:style w:type="character" w:customStyle="1" w:styleId="Ventura-ContentChar">
    <w:name w:val="Ventura-Content Char"/>
    <w:link w:val="Ventura-Content"/>
    <w:rsid w:val="00565B8E"/>
    <w:rPr>
      <w:rFonts w:ascii="Book Antiqua" w:eastAsia="Times New Roman" w:hAnsi="Book Antiqua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365012"/>
    <w:pPr>
      <w:spacing w:after="120"/>
    </w:pPr>
    <w:rPr>
      <w:rFonts w:ascii="Times New Roman" w:eastAsia="Times New Roman" w:hAnsi="Times New Roman"/>
      <w:lang w:val="id-ID"/>
    </w:rPr>
  </w:style>
  <w:style w:type="character" w:customStyle="1" w:styleId="BodyTextChar">
    <w:name w:val="Body Text Char"/>
    <w:basedOn w:val="DefaultParagraphFont"/>
    <w:link w:val="BodyText"/>
    <w:uiPriority w:val="99"/>
    <w:rsid w:val="00365012"/>
    <w:rPr>
      <w:rFonts w:ascii="Times New Roman" w:eastAsia="Times New Roman" w:hAnsi="Times New Roman"/>
      <w:sz w:val="22"/>
      <w:szCs w:val="22"/>
      <w:lang w:val="id-I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4046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C032D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FE35D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E35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873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PlainTable22">
    <w:name w:val="Plain Table 22"/>
    <w:basedOn w:val="TableNormal"/>
    <w:next w:val="PlainTable2"/>
    <w:uiPriority w:val="42"/>
    <w:rsid w:val="003E4489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">
    <w:name w:val="Plain Table 2"/>
    <w:basedOn w:val="TableNormal"/>
    <w:uiPriority w:val="42"/>
    <w:rsid w:val="003E448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Biasa21">
    <w:name w:val="Tabel Biasa 21"/>
    <w:basedOn w:val="TableNormal"/>
    <w:uiPriority w:val="42"/>
    <w:rsid w:val="00511C7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adanA">
    <w:name w:val="Badan A"/>
    <w:rsid w:val="00124907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  <w:outlineLvl w:val="0"/>
    </w:pPr>
    <w:rPr>
      <w:rFonts w:eastAsia="Arial Unicode MS" w:cs="Arial Unicode MS"/>
      <w:color w:val="000000"/>
      <w:position w:val="-8"/>
      <w:sz w:val="22"/>
      <w:szCs w:val="22"/>
      <w:u w:color="000000"/>
      <w:bdr w:val="nil"/>
      <w:lang w:eastAsia="en-ID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GayayangDiimpor2">
    <w:name w:val="Gaya yang Diimpor 2"/>
    <w:rsid w:val="00124907"/>
    <w:pPr>
      <w:numPr>
        <w:numId w:val="1"/>
      </w:numPr>
    </w:pPr>
  </w:style>
  <w:style w:type="character" w:customStyle="1" w:styleId="Hyperlink0">
    <w:name w:val="Hyperlink.0"/>
    <w:basedOn w:val="Hyperlink"/>
    <w:rsid w:val="00124907"/>
    <w:rPr>
      <w:outline w:val="0"/>
      <w:color w:val="0000FF"/>
      <w:u w:val="single" w:color="0000FF"/>
    </w:rPr>
  </w:style>
  <w:style w:type="character" w:customStyle="1" w:styleId="TidakAda">
    <w:name w:val="Tidak Ada"/>
    <w:rsid w:val="00124907"/>
  </w:style>
  <w:style w:type="character" w:customStyle="1" w:styleId="Hyperlink1">
    <w:name w:val="Hyperlink.1"/>
    <w:basedOn w:val="TidakAda"/>
    <w:rsid w:val="00124907"/>
    <w:rPr>
      <w:rFonts w:ascii="Cambria" w:eastAsia="Cambria" w:hAnsi="Cambria" w:cs="Cambria"/>
      <w:outline w:val="0"/>
      <w:color w:val="0000FF"/>
      <w:position w:val="0"/>
      <w:sz w:val="24"/>
      <w:szCs w:val="24"/>
      <w:u w:val="single" w:color="0000FF"/>
      <w:vertAlign w:val="baseline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3C74"/>
    <w:rPr>
      <w:color w:val="605E5C"/>
      <w:shd w:val="clear" w:color="auto" w:fill="E1DFDD"/>
    </w:rPr>
  </w:style>
  <w:style w:type="character" w:customStyle="1" w:styleId="mord">
    <w:name w:val="mord"/>
    <w:basedOn w:val="DefaultParagraphFont"/>
    <w:rsid w:val="003A1C00"/>
  </w:style>
  <w:style w:type="character" w:customStyle="1" w:styleId="mrel">
    <w:name w:val="mrel"/>
    <w:basedOn w:val="DefaultParagraphFont"/>
    <w:rsid w:val="003A1C00"/>
  </w:style>
  <w:style w:type="character" w:customStyle="1" w:styleId="mbin">
    <w:name w:val="mbin"/>
    <w:basedOn w:val="DefaultParagraphFont"/>
    <w:rsid w:val="003A1C00"/>
  </w:style>
  <w:style w:type="character" w:customStyle="1" w:styleId="vlist-s">
    <w:name w:val="vlist-s"/>
    <w:basedOn w:val="DefaultParagraphFont"/>
    <w:rsid w:val="003A1C00"/>
  </w:style>
  <w:style w:type="table" w:customStyle="1" w:styleId="PlainTable23">
    <w:name w:val="Plain Table 23"/>
    <w:basedOn w:val="TableNormal"/>
    <w:uiPriority w:val="42"/>
    <w:rsid w:val="006151D9"/>
    <w:pPr>
      <w:spacing w:after="200" w:line="276" w:lineRule="auto"/>
    </w:pPr>
    <w:rPr>
      <w:rFonts w:cs="Calibri"/>
      <w:sz w:val="22"/>
      <w:szCs w:val="22"/>
      <w:lang w:eastAsia="en-ID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53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73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73E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2A1"/>
    <w:rPr>
      <w:color w:val="0000FF"/>
      <w:u w:val="single"/>
    </w:rPr>
  </w:style>
  <w:style w:type="paragraph" w:styleId="ListParagraph">
    <w:name w:val="List Paragraph"/>
    <w:aliases w:val="Body of text,Body of textCxSp,Medium Grid 1 - Accent 21,Body of text+1,Body of text+2,Body of text+3,List Paragraph11,List Paragraph1,Colorful List - Accent 11,HEADING 1,soal jawab,Heading 11,Heading 12,List Paragraph111,Daftar Paragraf"/>
    <w:basedOn w:val="Normal"/>
    <w:link w:val="ListParagraphChar"/>
    <w:uiPriority w:val="34"/>
    <w:qFormat/>
    <w:rsid w:val="00F912A1"/>
    <w:pPr>
      <w:ind w:left="720"/>
      <w:contextualSpacing/>
    </w:pPr>
    <w:rPr>
      <w:lang w:val="id-ID"/>
    </w:rPr>
  </w:style>
  <w:style w:type="paragraph" w:customStyle="1" w:styleId="Default">
    <w:name w:val="Default"/>
    <w:rsid w:val="00F912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B25D2F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B25D2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75AA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5AA1"/>
    <w:rPr>
      <w:sz w:val="22"/>
      <w:szCs w:val="22"/>
    </w:rPr>
  </w:style>
  <w:style w:type="character" w:customStyle="1" w:styleId="Heading3Char">
    <w:name w:val="Heading 3 Char"/>
    <w:link w:val="Heading3"/>
    <w:uiPriority w:val="9"/>
    <w:rsid w:val="00473EE4"/>
    <w:rPr>
      <w:rFonts w:ascii="Times New Roman" w:eastAsia="Times New Roman" w:hAnsi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0DA"/>
    <w:pPr>
      <w:spacing w:after="0" w:line="240" w:lineRule="auto"/>
    </w:pPr>
    <w:rPr>
      <w:rFonts w:ascii="Tahoma" w:hAnsi="Tahoma"/>
      <w:noProof/>
      <w:sz w:val="16"/>
      <w:szCs w:val="16"/>
      <w:lang w:val="id-ID"/>
    </w:rPr>
  </w:style>
  <w:style w:type="character" w:customStyle="1" w:styleId="BalloonTextChar">
    <w:name w:val="Balloon Text Char"/>
    <w:link w:val="BalloonText"/>
    <w:uiPriority w:val="99"/>
    <w:semiHidden/>
    <w:rsid w:val="006120DA"/>
    <w:rPr>
      <w:rFonts w:ascii="Tahoma" w:hAnsi="Tahoma" w:cs="Tahoma"/>
      <w:noProof/>
      <w:sz w:val="16"/>
      <w:szCs w:val="16"/>
      <w:lang w:val="id-ID"/>
    </w:rPr>
  </w:style>
  <w:style w:type="paragraph" w:customStyle="1" w:styleId="B7A3AA4F82F84F2E8D122C3B6DBBE8C9">
    <w:name w:val="B7A3AA4F82F84F2E8D122C3B6DBBE8C9"/>
    <w:rsid w:val="00283F4B"/>
    <w:pPr>
      <w:spacing w:after="200" w:line="276" w:lineRule="auto"/>
    </w:pPr>
    <w:rPr>
      <w:rFonts w:eastAsia="Times New Roman"/>
      <w:sz w:val="22"/>
      <w:szCs w:val="22"/>
    </w:rPr>
  </w:style>
  <w:style w:type="table" w:styleId="TableGrid">
    <w:name w:val="Table Grid"/>
    <w:basedOn w:val="TableNormal"/>
    <w:qFormat/>
    <w:rsid w:val="00D271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D27190"/>
    <w:rPr>
      <w:b/>
      <w:bCs/>
    </w:rPr>
  </w:style>
  <w:style w:type="paragraph" w:styleId="BodyTextIndent">
    <w:name w:val="Body Text Indent"/>
    <w:basedOn w:val="Normal"/>
    <w:link w:val="BodyTextIndentChar"/>
    <w:uiPriority w:val="99"/>
    <w:unhideWhenUsed/>
    <w:rsid w:val="00DB0599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DB0599"/>
    <w:rPr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DB059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DB0599"/>
  </w:style>
  <w:style w:type="character" w:styleId="Emphasis">
    <w:name w:val="Emphasis"/>
    <w:uiPriority w:val="20"/>
    <w:qFormat/>
    <w:rsid w:val="00DB059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842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C84225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66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F1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66F1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F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6F13"/>
    <w:rPr>
      <w:b/>
      <w:bCs/>
      <w:lang w:val="en-US" w:eastAsia="en-US"/>
    </w:rPr>
  </w:style>
  <w:style w:type="paragraph" w:styleId="NoSpacing">
    <w:name w:val="No Spacing"/>
    <w:uiPriority w:val="1"/>
    <w:qFormat/>
    <w:rsid w:val="001D4806"/>
    <w:rPr>
      <w:rFonts w:ascii="Arial" w:hAnsi="Arial" w:cs="Arial"/>
      <w:sz w:val="22"/>
      <w:szCs w:val="22"/>
      <w:lang w:val="id-ID"/>
    </w:rPr>
  </w:style>
  <w:style w:type="character" w:customStyle="1" w:styleId="UnresolvedMention1">
    <w:name w:val="Unresolved Mention1"/>
    <w:uiPriority w:val="99"/>
    <w:semiHidden/>
    <w:unhideWhenUsed/>
    <w:rsid w:val="00C77764"/>
    <w:rPr>
      <w:color w:val="605E5C"/>
      <w:shd w:val="clear" w:color="auto" w:fill="E1DFDD"/>
    </w:rPr>
  </w:style>
  <w:style w:type="character" w:customStyle="1" w:styleId="ListParagraphChar">
    <w:name w:val="List Paragraph Char"/>
    <w:aliases w:val="Body of text Char,Body of textCxSp Char,Medium Grid 1 - Accent 21 Char,Body of text+1 Char,Body of text+2 Char,Body of text+3 Char,List Paragraph11 Char,List Paragraph1 Char,Colorful List - Accent 11 Char,HEADING 1 Char"/>
    <w:link w:val="ListParagraph"/>
    <w:uiPriority w:val="34"/>
    <w:qFormat/>
    <w:locked/>
    <w:rsid w:val="00765307"/>
    <w:rPr>
      <w:sz w:val="22"/>
      <w:szCs w:val="22"/>
      <w:lang w:val="id-ID"/>
    </w:rPr>
  </w:style>
  <w:style w:type="table" w:customStyle="1" w:styleId="PlainTable21">
    <w:name w:val="Plain Table 21"/>
    <w:basedOn w:val="TableNormal"/>
    <w:uiPriority w:val="42"/>
    <w:rsid w:val="00765307"/>
    <w:rPr>
      <w:rFonts w:cs="Arial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6126B9"/>
    <w:pPr>
      <w:jc w:val="both"/>
    </w:pPr>
    <w:rPr>
      <w:rFonts w:ascii="Times New Roman" w:eastAsia="SimSun" w:hAnsi="Times New Roman"/>
      <w:kern w:val="2"/>
      <w:sz w:val="21"/>
      <w:szCs w:val="20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7D25F2"/>
    <w:rPr>
      <w:b/>
      <w:bCs/>
      <w:sz w:val="20"/>
      <w:szCs w:val="20"/>
    </w:rPr>
  </w:style>
  <w:style w:type="paragraph" w:customStyle="1" w:styleId="Ventura-Content">
    <w:name w:val="Ventura-Content"/>
    <w:basedOn w:val="Normal"/>
    <w:link w:val="Ventura-ContentChar"/>
    <w:rsid w:val="00565B8E"/>
    <w:pPr>
      <w:widowControl w:val="0"/>
      <w:tabs>
        <w:tab w:val="left" w:pos="0"/>
      </w:tabs>
      <w:spacing w:after="0" w:line="240" w:lineRule="auto"/>
      <w:ind w:firstLine="397"/>
      <w:contextualSpacing/>
      <w:jc w:val="both"/>
    </w:pPr>
    <w:rPr>
      <w:rFonts w:ascii="Book Antiqua" w:eastAsia="Times New Roman" w:hAnsi="Book Antiqua"/>
      <w:sz w:val="20"/>
      <w:szCs w:val="24"/>
    </w:rPr>
  </w:style>
  <w:style w:type="character" w:customStyle="1" w:styleId="Ventura-ContentChar">
    <w:name w:val="Ventura-Content Char"/>
    <w:link w:val="Ventura-Content"/>
    <w:rsid w:val="00565B8E"/>
    <w:rPr>
      <w:rFonts w:ascii="Book Antiqua" w:eastAsia="Times New Roman" w:hAnsi="Book Antiqua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365012"/>
    <w:pPr>
      <w:spacing w:after="120"/>
    </w:pPr>
    <w:rPr>
      <w:rFonts w:ascii="Times New Roman" w:eastAsia="Times New Roman" w:hAnsi="Times New Roman"/>
      <w:lang w:val="id-ID"/>
    </w:rPr>
  </w:style>
  <w:style w:type="character" w:customStyle="1" w:styleId="BodyTextChar">
    <w:name w:val="Body Text Char"/>
    <w:basedOn w:val="DefaultParagraphFont"/>
    <w:link w:val="BodyText"/>
    <w:uiPriority w:val="99"/>
    <w:rsid w:val="00365012"/>
    <w:rPr>
      <w:rFonts w:ascii="Times New Roman" w:eastAsia="Times New Roman" w:hAnsi="Times New Roman"/>
      <w:sz w:val="22"/>
      <w:szCs w:val="22"/>
      <w:lang w:val="id-I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4046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C032D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FE35D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E35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873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PlainTable22">
    <w:name w:val="Plain Table 22"/>
    <w:basedOn w:val="TableNormal"/>
    <w:next w:val="PlainTable2"/>
    <w:uiPriority w:val="42"/>
    <w:rsid w:val="003E4489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">
    <w:name w:val="Plain Table 2"/>
    <w:basedOn w:val="TableNormal"/>
    <w:uiPriority w:val="42"/>
    <w:rsid w:val="003E448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Biasa21">
    <w:name w:val="Tabel Biasa 21"/>
    <w:basedOn w:val="TableNormal"/>
    <w:uiPriority w:val="42"/>
    <w:rsid w:val="00511C7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adanA">
    <w:name w:val="Badan A"/>
    <w:rsid w:val="00124907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  <w:outlineLvl w:val="0"/>
    </w:pPr>
    <w:rPr>
      <w:rFonts w:eastAsia="Arial Unicode MS" w:cs="Arial Unicode MS"/>
      <w:color w:val="000000"/>
      <w:position w:val="-8"/>
      <w:sz w:val="22"/>
      <w:szCs w:val="22"/>
      <w:u w:color="000000"/>
      <w:bdr w:val="nil"/>
      <w:lang w:eastAsia="en-ID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GayayangDiimpor2">
    <w:name w:val="Gaya yang Diimpor 2"/>
    <w:rsid w:val="00124907"/>
    <w:pPr>
      <w:numPr>
        <w:numId w:val="1"/>
      </w:numPr>
    </w:pPr>
  </w:style>
  <w:style w:type="character" w:customStyle="1" w:styleId="Hyperlink0">
    <w:name w:val="Hyperlink.0"/>
    <w:basedOn w:val="Hyperlink"/>
    <w:rsid w:val="00124907"/>
    <w:rPr>
      <w:outline w:val="0"/>
      <w:color w:val="0000FF"/>
      <w:u w:val="single" w:color="0000FF"/>
    </w:rPr>
  </w:style>
  <w:style w:type="character" w:customStyle="1" w:styleId="TidakAda">
    <w:name w:val="Tidak Ada"/>
    <w:rsid w:val="00124907"/>
  </w:style>
  <w:style w:type="character" w:customStyle="1" w:styleId="Hyperlink1">
    <w:name w:val="Hyperlink.1"/>
    <w:basedOn w:val="TidakAda"/>
    <w:rsid w:val="00124907"/>
    <w:rPr>
      <w:rFonts w:ascii="Cambria" w:eastAsia="Cambria" w:hAnsi="Cambria" w:cs="Cambria"/>
      <w:outline w:val="0"/>
      <w:color w:val="0000FF"/>
      <w:position w:val="0"/>
      <w:sz w:val="24"/>
      <w:szCs w:val="24"/>
      <w:u w:val="single" w:color="0000FF"/>
      <w:vertAlign w:val="baseline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3C74"/>
    <w:rPr>
      <w:color w:val="605E5C"/>
      <w:shd w:val="clear" w:color="auto" w:fill="E1DFDD"/>
    </w:rPr>
  </w:style>
  <w:style w:type="character" w:customStyle="1" w:styleId="mord">
    <w:name w:val="mord"/>
    <w:basedOn w:val="DefaultParagraphFont"/>
    <w:rsid w:val="003A1C00"/>
  </w:style>
  <w:style w:type="character" w:customStyle="1" w:styleId="mrel">
    <w:name w:val="mrel"/>
    <w:basedOn w:val="DefaultParagraphFont"/>
    <w:rsid w:val="003A1C00"/>
  </w:style>
  <w:style w:type="character" w:customStyle="1" w:styleId="mbin">
    <w:name w:val="mbin"/>
    <w:basedOn w:val="DefaultParagraphFont"/>
    <w:rsid w:val="003A1C00"/>
  </w:style>
  <w:style w:type="character" w:customStyle="1" w:styleId="vlist-s">
    <w:name w:val="vlist-s"/>
    <w:basedOn w:val="DefaultParagraphFont"/>
    <w:rsid w:val="003A1C00"/>
  </w:style>
  <w:style w:type="table" w:customStyle="1" w:styleId="PlainTable23">
    <w:name w:val="Plain Table 23"/>
    <w:basedOn w:val="TableNormal"/>
    <w:uiPriority w:val="42"/>
    <w:rsid w:val="006151D9"/>
    <w:pPr>
      <w:spacing w:after="200" w:line="276" w:lineRule="auto"/>
    </w:pPr>
    <w:rPr>
      <w:rFonts w:cs="Calibri"/>
      <w:sz w:val="22"/>
      <w:szCs w:val="22"/>
      <w:lang w:eastAsia="en-ID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gusnnurdiansah@gmail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F104F-5E89-4EBD-821D-83EFBACD5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4452</Words>
  <Characters>25383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29776</CharactersWithSpaces>
  <SharedDoc>false</SharedDoc>
  <HLinks>
    <vt:vector size="24" baseType="variant">
      <vt:variant>
        <vt:i4>2228252</vt:i4>
      </vt:variant>
      <vt:variant>
        <vt:i4>9</vt:i4>
      </vt:variant>
      <vt:variant>
        <vt:i4>0</vt:i4>
      </vt:variant>
      <vt:variant>
        <vt:i4>5</vt:i4>
      </vt:variant>
      <vt:variant>
        <vt:lpwstr>mailto:xxxx@xxxx.xxx</vt:lpwstr>
      </vt:variant>
      <vt:variant>
        <vt:lpwstr/>
      </vt:variant>
      <vt:variant>
        <vt:i4>6750276</vt:i4>
      </vt:variant>
      <vt:variant>
        <vt:i4>6</vt:i4>
      </vt:variant>
      <vt:variant>
        <vt:i4>0</vt:i4>
      </vt:variant>
      <vt:variant>
        <vt:i4>5</vt:i4>
      </vt:variant>
      <vt:variant>
        <vt:lpwstr>mailto:yuliarti@gmail.com</vt:lpwstr>
      </vt:variant>
      <vt:variant>
        <vt:lpwstr/>
      </vt:variant>
      <vt:variant>
        <vt:i4>1703984</vt:i4>
      </vt:variant>
      <vt:variant>
        <vt:i4>3</vt:i4>
      </vt:variant>
      <vt:variant>
        <vt:i4>0</vt:i4>
      </vt:variant>
      <vt:variant>
        <vt:i4>5</vt:i4>
      </vt:variant>
      <vt:variant>
        <vt:lpwstr>mailto:firsaariza@gmail.com</vt:lpwstr>
      </vt:variant>
      <vt:variant>
        <vt:lpwstr/>
      </vt:variant>
      <vt:variant>
        <vt:i4>2555973</vt:i4>
      </vt:variant>
      <vt:variant>
        <vt:i4>0</vt:i4>
      </vt:variant>
      <vt:variant>
        <vt:i4>0</vt:i4>
      </vt:variant>
      <vt:variant>
        <vt:i4>5</vt:i4>
      </vt:variant>
      <vt:variant>
        <vt:lpwstr>mailto:qunita.ulfah1999@gmail.com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 Dian</dc:creator>
  <cp:lastModifiedBy>Lenovo</cp:lastModifiedBy>
  <cp:revision>6</cp:revision>
  <cp:lastPrinted>2025-12-22T07:23:00Z</cp:lastPrinted>
  <dcterms:created xsi:type="dcterms:W3CDTF">2025-12-12T08:43:00Z</dcterms:created>
  <dcterms:modified xsi:type="dcterms:W3CDTF">2025-12-22T07:24:00Z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36312daa-7f5e-3693-b4ff-d92bb5997b29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